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CFA6" w14:textId="77777777" w:rsidR="00C41B57" w:rsidRDefault="009B4447" w:rsidP="00656A2B">
      <w:pPr>
        <w:jc w:val="center"/>
        <w:rPr>
          <w:rFonts w:cs="Arial"/>
          <w:b/>
          <w:sz w:val="32"/>
          <w:szCs w:val="32"/>
        </w:rPr>
      </w:pPr>
      <w:bookmarkStart w:id="0" w:name="_Hlk82774796"/>
      <w:r>
        <w:rPr>
          <w:rFonts w:cs="Arial"/>
          <w:b/>
          <w:sz w:val="32"/>
          <w:szCs w:val="32"/>
        </w:rPr>
        <w:t xml:space="preserve">Example Outline for </w:t>
      </w:r>
      <w:r w:rsidR="005B00E1">
        <w:rPr>
          <w:rFonts w:cs="Arial"/>
          <w:b/>
          <w:sz w:val="32"/>
          <w:szCs w:val="32"/>
        </w:rPr>
        <w:t>a Source Protection Plan</w:t>
      </w:r>
      <w:r w:rsidR="000A39A6">
        <w:rPr>
          <w:rFonts w:cs="Arial"/>
          <w:b/>
          <w:sz w:val="32"/>
          <w:szCs w:val="32"/>
        </w:rPr>
        <w:t xml:space="preserve"> – </w:t>
      </w:r>
    </w:p>
    <w:p w14:paraId="70206E6C" w14:textId="2EDE7A5B" w:rsidR="000A58BA" w:rsidRDefault="001D6EAF" w:rsidP="00656A2B">
      <w:pPr>
        <w:jc w:val="center"/>
        <w:rPr>
          <w:rFonts w:cs="Arial"/>
          <w:b/>
          <w:sz w:val="32"/>
          <w:szCs w:val="32"/>
        </w:rPr>
      </w:pPr>
      <w:r>
        <w:rPr>
          <w:rFonts w:cs="Arial"/>
          <w:b/>
          <w:sz w:val="32"/>
          <w:szCs w:val="32"/>
        </w:rPr>
        <w:t>Upland Watershed</w:t>
      </w:r>
      <w:r w:rsidR="000A39A6">
        <w:rPr>
          <w:rFonts w:cs="Arial"/>
          <w:b/>
          <w:sz w:val="32"/>
          <w:szCs w:val="32"/>
        </w:rPr>
        <w:t xml:space="preserve"> </w:t>
      </w:r>
    </w:p>
    <w:p w14:paraId="1AA821D5" w14:textId="77777777" w:rsidR="00305AFC" w:rsidRDefault="00305AFC" w:rsidP="00E76403">
      <w:pPr>
        <w:pStyle w:val="NoSpacing"/>
      </w:pPr>
      <w:bookmarkStart w:id="1" w:name="_Hlk57213100"/>
      <w:bookmarkEnd w:id="1"/>
      <w:bookmarkEnd w:id="0"/>
    </w:p>
    <w:p w14:paraId="3DEEE370" w14:textId="77777777" w:rsidR="0087520C" w:rsidRPr="00BD3477" w:rsidRDefault="000A58BA" w:rsidP="00B05722">
      <w:pPr>
        <w:pStyle w:val="SectionHeader"/>
        <w:rPr>
          <w:noProof/>
        </w:rPr>
      </w:pPr>
      <w:bookmarkStart w:id="2" w:name="_Toc450900441"/>
      <w:r w:rsidRPr="009B4447">
        <w:t>Executive Summary</w:t>
      </w:r>
      <w:bookmarkEnd w:id="2"/>
      <w:r w:rsidRPr="00BD3477">
        <w:rPr>
          <w:noProof/>
        </w:rPr>
        <w:t xml:space="preserve"> </w:t>
      </w:r>
    </w:p>
    <w:p w14:paraId="5775A88D" w14:textId="07CFA6B1" w:rsidR="005B00E1" w:rsidRDefault="005B00E1" w:rsidP="005B00E1">
      <w:pPr>
        <w:pStyle w:val="NoSpacing"/>
      </w:pPr>
    </w:p>
    <w:p w14:paraId="126C8681" w14:textId="77777777" w:rsidR="000A39A6" w:rsidRPr="000A39A6" w:rsidRDefault="000A39A6" w:rsidP="000A39A6">
      <w:pPr>
        <w:spacing w:after="160" w:line="259" w:lineRule="auto"/>
        <w:ind w:left="-426"/>
        <w:rPr>
          <w:rFonts w:cs="Arial"/>
          <w:b/>
          <w:sz w:val="28"/>
          <w:szCs w:val="28"/>
        </w:rPr>
      </w:pPr>
      <w:r w:rsidRPr="000A39A6">
        <w:rPr>
          <w:rFonts w:cs="Arial"/>
          <w:b/>
          <w:sz w:val="28"/>
          <w:szCs w:val="28"/>
        </w:rPr>
        <w:t>TABLE OF CONTENTS/FIGURES</w:t>
      </w:r>
    </w:p>
    <w:p w14:paraId="443A7A24" w14:textId="5AD03B43" w:rsidR="000A39A6" w:rsidRPr="000A39A6" w:rsidRDefault="000A39A6" w:rsidP="000A39A6">
      <w:pPr>
        <w:spacing w:after="160" w:line="259" w:lineRule="auto"/>
        <w:ind w:left="-426"/>
        <w:rPr>
          <w:rFonts w:cs="Arial"/>
          <w:b/>
          <w:sz w:val="28"/>
          <w:szCs w:val="28"/>
        </w:rPr>
      </w:pPr>
      <w:r w:rsidRPr="000A39A6">
        <w:rPr>
          <w:rFonts w:cs="Arial"/>
          <w:b/>
          <w:sz w:val="28"/>
          <w:szCs w:val="28"/>
        </w:rPr>
        <w:t xml:space="preserve">DEFINITIONS/ BASIC STATISTICAL INFORMATION </w:t>
      </w:r>
    </w:p>
    <w:p w14:paraId="2008AC88" w14:textId="77777777" w:rsidR="000A39A6" w:rsidRDefault="000A39A6" w:rsidP="005B00E1">
      <w:pPr>
        <w:pStyle w:val="NoSpacing"/>
      </w:pPr>
    </w:p>
    <w:p w14:paraId="65811704" w14:textId="7B9D2A88" w:rsidR="005B00E1" w:rsidRPr="00BD3477" w:rsidRDefault="005B00E1" w:rsidP="005B00E1">
      <w:pPr>
        <w:pStyle w:val="Heading1"/>
        <w:ind w:left="-426"/>
      </w:pPr>
      <w:r>
        <w:t>Part 1: Source Water Assessment</w:t>
      </w:r>
    </w:p>
    <w:p w14:paraId="38A781EF" w14:textId="77777777" w:rsidR="00B438D0" w:rsidRDefault="00B438D0" w:rsidP="00B438D0">
      <w:pPr>
        <w:pStyle w:val="NoSpacing"/>
        <w:rPr>
          <w:noProof/>
        </w:rPr>
      </w:pPr>
    </w:p>
    <w:p w14:paraId="472A3819" w14:textId="77777777" w:rsidR="00510DAC" w:rsidRPr="00B05722" w:rsidRDefault="00510DAC" w:rsidP="005B00E1">
      <w:pPr>
        <w:pStyle w:val="SectionHeader"/>
        <w:ind w:left="0"/>
      </w:pPr>
      <w:bookmarkStart w:id="3" w:name="_Toc372814351"/>
      <w:bookmarkStart w:id="4" w:name="_Toc450900442"/>
      <w:r w:rsidRPr="00B05722">
        <w:t>1.0 Introduction</w:t>
      </w:r>
      <w:bookmarkEnd w:id="3"/>
      <w:bookmarkEnd w:id="4"/>
      <w:r w:rsidRPr="00B05722">
        <w:t xml:space="preserve"> </w:t>
      </w:r>
    </w:p>
    <w:p w14:paraId="707C2B37" w14:textId="77777777" w:rsidR="00E76403" w:rsidRDefault="00E76403" w:rsidP="00E76403">
      <w:pPr>
        <w:pStyle w:val="NoSpacing"/>
      </w:pPr>
      <w:bookmarkStart w:id="5" w:name="_Toc372814352"/>
      <w:bookmarkStart w:id="6" w:name="_Toc450900443"/>
    </w:p>
    <w:p w14:paraId="3AC0F9D9" w14:textId="7F2CB080" w:rsidR="00510DAC" w:rsidRDefault="00510DAC" w:rsidP="00E76403">
      <w:pPr>
        <w:pStyle w:val="sub-subsectionheader"/>
        <w:ind w:left="426"/>
      </w:pPr>
      <w:r w:rsidRPr="00B05722">
        <w:t>1.1 Background</w:t>
      </w:r>
      <w:bookmarkEnd w:id="5"/>
      <w:bookmarkEnd w:id="6"/>
    </w:p>
    <w:p w14:paraId="48D4CC65" w14:textId="29D7F703" w:rsidR="00E76403" w:rsidRPr="009F2FD6" w:rsidRDefault="009F2FD6" w:rsidP="009F2FD6">
      <w:pPr>
        <w:ind w:left="426"/>
        <w:jc w:val="both"/>
        <w:rPr>
          <w:rFonts w:cs="Arial"/>
          <w:szCs w:val="22"/>
        </w:rPr>
      </w:pPr>
      <w:r>
        <w:rPr>
          <w:rFonts w:cs="Arial"/>
          <w:color w:val="ED7D31" w:themeColor="accent2"/>
          <w:szCs w:val="22"/>
        </w:rPr>
        <w:t>Describ</w:t>
      </w:r>
      <w:r w:rsidR="00CC42FD">
        <w:rPr>
          <w:rFonts w:cs="Arial"/>
          <w:color w:val="ED7D31" w:themeColor="accent2"/>
          <w:szCs w:val="22"/>
        </w:rPr>
        <w:t>e the reason for preparing the Source Protection P</w:t>
      </w:r>
      <w:r>
        <w:rPr>
          <w:rFonts w:cs="Arial"/>
          <w:color w:val="ED7D31" w:themeColor="accent2"/>
          <w:szCs w:val="22"/>
        </w:rPr>
        <w:t>lan (</w:t>
      </w:r>
      <w:proofErr w:type="gramStart"/>
      <w:r>
        <w:rPr>
          <w:rFonts w:cs="Arial"/>
          <w:color w:val="ED7D31" w:themeColor="accent2"/>
          <w:szCs w:val="22"/>
        </w:rPr>
        <w:t>e.g.</w:t>
      </w:r>
      <w:proofErr w:type="gramEnd"/>
      <w:r>
        <w:rPr>
          <w:rFonts w:cs="Arial"/>
          <w:color w:val="ED7D31" w:themeColor="accent2"/>
          <w:szCs w:val="22"/>
        </w:rPr>
        <w:t xml:space="preserve"> requested/required by health authority) and the location of the study area (include map).</w:t>
      </w:r>
    </w:p>
    <w:p w14:paraId="186CC5CA" w14:textId="77777777" w:rsidR="009F2FD6" w:rsidRPr="00B05722" w:rsidRDefault="009F2FD6" w:rsidP="00E76403">
      <w:pPr>
        <w:pStyle w:val="sub-subsectionheader"/>
        <w:ind w:left="426"/>
      </w:pPr>
    </w:p>
    <w:p w14:paraId="051C12E7" w14:textId="18E1820B" w:rsidR="00510DAC" w:rsidRDefault="00510DAC" w:rsidP="00E76403">
      <w:pPr>
        <w:pStyle w:val="sub-subsectionheader"/>
        <w:ind w:left="426"/>
      </w:pPr>
      <w:bookmarkStart w:id="7" w:name="_Toc372814353"/>
      <w:bookmarkStart w:id="8" w:name="_Toc450900444"/>
      <w:r w:rsidRPr="00BD3477">
        <w:t>1.2 Purpose</w:t>
      </w:r>
      <w:bookmarkEnd w:id="7"/>
      <w:bookmarkEnd w:id="8"/>
      <w:r w:rsidR="00B438D0">
        <w:t xml:space="preserve"> and Scope</w:t>
      </w:r>
    </w:p>
    <w:p w14:paraId="26398924" w14:textId="425FE1D8" w:rsidR="009F2FD6" w:rsidRPr="009F2FD6" w:rsidRDefault="009F2FD6" w:rsidP="009F2FD6">
      <w:pPr>
        <w:ind w:left="426"/>
        <w:jc w:val="both"/>
        <w:rPr>
          <w:rFonts w:cs="Arial"/>
          <w:szCs w:val="22"/>
        </w:rPr>
      </w:pPr>
      <w:r>
        <w:rPr>
          <w:rFonts w:cs="Arial"/>
          <w:color w:val="ED7D31" w:themeColor="accent2"/>
          <w:szCs w:val="22"/>
        </w:rPr>
        <w:t>Describe the purpose of the source wa</w:t>
      </w:r>
      <w:r w:rsidR="00CC42FD">
        <w:rPr>
          <w:rFonts w:cs="Arial"/>
          <w:color w:val="ED7D31" w:themeColor="accent2"/>
          <w:szCs w:val="22"/>
        </w:rPr>
        <w:t>ter assessment and the overall Source Protection P</w:t>
      </w:r>
      <w:r>
        <w:rPr>
          <w:rFonts w:cs="Arial"/>
          <w:color w:val="ED7D31" w:themeColor="accent2"/>
          <w:szCs w:val="22"/>
        </w:rPr>
        <w:t>lan. Identify the scope of the assessment (</w:t>
      </w:r>
      <w:proofErr w:type="gramStart"/>
      <w:r>
        <w:rPr>
          <w:rFonts w:cs="Arial"/>
          <w:color w:val="ED7D31" w:themeColor="accent2"/>
          <w:szCs w:val="22"/>
        </w:rPr>
        <w:t>e.g.</w:t>
      </w:r>
      <w:proofErr w:type="gramEnd"/>
      <w:r>
        <w:rPr>
          <w:rFonts w:cs="Arial"/>
          <w:color w:val="ED7D31" w:themeColor="accent2"/>
          <w:szCs w:val="22"/>
        </w:rPr>
        <w:t xml:space="preserve"> covers modules 1, 2, 7 and 8).  </w:t>
      </w:r>
    </w:p>
    <w:p w14:paraId="1E46A395" w14:textId="77777777" w:rsidR="00E76403" w:rsidRPr="00BD3477" w:rsidRDefault="00E76403" w:rsidP="00E76403">
      <w:pPr>
        <w:pStyle w:val="sub-subsectionheader"/>
        <w:ind w:left="426"/>
      </w:pPr>
    </w:p>
    <w:p w14:paraId="1CECF10E" w14:textId="52CB6DAF" w:rsidR="00510DAC" w:rsidRDefault="00510DAC" w:rsidP="00E76403">
      <w:pPr>
        <w:pStyle w:val="sub-subsectionheader"/>
        <w:ind w:left="426"/>
      </w:pPr>
      <w:bookmarkStart w:id="9" w:name="_Toc372814354"/>
      <w:bookmarkStart w:id="10" w:name="_Toc450900445"/>
      <w:r w:rsidRPr="00BD3477">
        <w:t xml:space="preserve">1.3 </w:t>
      </w:r>
      <w:bookmarkEnd w:id="9"/>
      <w:bookmarkEnd w:id="10"/>
      <w:r w:rsidR="004E1C2F">
        <w:t>Approach</w:t>
      </w:r>
    </w:p>
    <w:p w14:paraId="02F6B86E" w14:textId="5231A107" w:rsidR="009F2FD6" w:rsidRDefault="009F2FD6" w:rsidP="009F2FD6">
      <w:pPr>
        <w:ind w:left="426"/>
        <w:jc w:val="both"/>
        <w:rPr>
          <w:rFonts w:cs="Arial"/>
          <w:color w:val="ED7D31" w:themeColor="accent2"/>
          <w:szCs w:val="22"/>
        </w:rPr>
      </w:pPr>
      <w:r>
        <w:rPr>
          <w:rFonts w:cs="Arial"/>
          <w:color w:val="ED7D31" w:themeColor="accent2"/>
          <w:szCs w:val="22"/>
        </w:rPr>
        <w:t xml:space="preserve">Describe the approach used to complete the source water assessment. </w:t>
      </w:r>
    </w:p>
    <w:p w14:paraId="54FB59A4" w14:textId="49AAC916" w:rsidR="00CC5540" w:rsidRDefault="00CC5540" w:rsidP="009F2FD6">
      <w:pPr>
        <w:ind w:left="426"/>
        <w:jc w:val="both"/>
        <w:rPr>
          <w:rFonts w:cs="Arial"/>
          <w:color w:val="ED7D31" w:themeColor="accent2"/>
          <w:szCs w:val="22"/>
        </w:rPr>
      </w:pPr>
    </w:p>
    <w:p w14:paraId="39C00228" w14:textId="24EAF967" w:rsidR="00CC5540" w:rsidRDefault="00CC5540" w:rsidP="00CC5540">
      <w:pPr>
        <w:pStyle w:val="sub-subsectionheader"/>
        <w:ind w:left="426"/>
      </w:pPr>
      <w:r>
        <w:t>1.4</w:t>
      </w:r>
      <w:r w:rsidRPr="00BD3477">
        <w:t xml:space="preserve"> </w:t>
      </w:r>
      <w:r>
        <w:t xml:space="preserve">Licensed Stakeholders and Interested Parties </w:t>
      </w:r>
    </w:p>
    <w:p w14:paraId="37F12909" w14:textId="14A5BA34" w:rsidR="00CC5540" w:rsidRPr="009F2FD6" w:rsidRDefault="00CC5540" w:rsidP="00CC5540">
      <w:pPr>
        <w:ind w:left="426"/>
        <w:jc w:val="both"/>
        <w:rPr>
          <w:rFonts w:cs="Arial"/>
          <w:szCs w:val="22"/>
        </w:rPr>
      </w:pPr>
      <w:r>
        <w:rPr>
          <w:rFonts w:cs="Arial"/>
          <w:color w:val="ED7D31" w:themeColor="accent2"/>
          <w:szCs w:val="22"/>
        </w:rPr>
        <w:t xml:space="preserve">List the provincial agencies, First Nations, and licensed stakeholders in the watershed(s) with decision-making authority. Also list the parties with interests in or adjacent to the watershed(s). </w:t>
      </w:r>
    </w:p>
    <w:p w14:paraId="613BB195" w14:textId="77777777" w:rsidR="00E76403" w:rsidRPr="00BD3477" w:rsidRDefault="00E76403" w:rsidP="00E76403">
      <w:pPr>
        <w:pStyle w:val="sub-subsectionheader"/>
        <w:ind w:left="426"/>
      </w:pPr>
    </w:p>
    <w:p w14:paraId="7DABB7E8" w14:textId="22658F9C" w:rsidR="004E1C2F" w:rsidRDefault="00F5218F" w:rsidP="00E76403">
      <w:pPr>
        <w:pStyle w:val="sub-subsectionheader"/>
        <w:ind w:left="426"/>
      </w:pPr>
      <w:r>
        <w:t>1.5</w:t>
      </w:r>
      <w:r w:rsidR="004E1C2F" w:rsidRPr="00BD3477">
        <w:t xml:space="preserve"> </w:t>
      </w:r>
      <w:r w:rsidR="004E1C2F">
        <w:t>Technical Committee</w:t>
      </w:r>
    </w:p>
    <w:p w14:paraId="26BC9162" w14:textId="4E6E009D" w:rsidR="009F2FD6" w:rsidRPr="009F2FD6" w:rsidRDefault="009F2FD6" w:rsidP="009F2FD6">
      <w:pPr>
        <w:ind w:left="426"/>
        <w:jc w:val="both"/>
        <w:rPr>
          <w:rFonts w:cs="Arial"/>
          <w:szCs w:val="22"/>
        </w:rPr>
      </w:pPr>
      <w:r>
        <w:rPr>
          <w:rFonts w:cs="Arial"/>
          <w:color w:val="ED7D31" w:themeColor="accent2"/>
          <w:szCs w:val="22"/>
        </w:rPr>
        <w:t xml:space="preserve">Describe the technical committee </w:t>
      </w:r>
      <w:r w:rsidR="00CC5540">
        <w:rPr>
          <w:rFonts w:cs="Arial"/>
          <w:color w:val="ED7D31" w:themeColor="accent2"/>
          <w:szCs w:val="22"/>
        </w:rPr>
        <w:t xml:space="preserve">representation and meeting process. </w:t>
      </w:r>
    </w:p>
    <w:p w14:paraId="2F4DCD23" w14:textId="77777777" w:rsidR="009F2FD6" w:rsidRPr="00BD3477" w:rsidRDefault="009F2FD6" w:rsidP="00E76403">
      <w:pPr>
        <w:pStyle w:val="sub-subsectionheader"/>
        <w:ind w:left="426"/>
      </w:pPr>
    </w:p>
    <w:p w14:paraId="74A756FB" w14:textId="77777777" w:rsidR="004E1C2F" w:rsidRPr="007E15F8" w:rsidRDefault="004E1C2F" w:rsidP="00E76403">
      <w:pPr>
        <w:pStyle w:val="sub-subsectionheader"/>
        <w:ind w:left="426"/>
      </w:pPr>
    </w:p>
    <w:p w14:paraId="683CD6A9" w14:textId="3912B4E5" w:rsidR="00510DAC" w:rsidRPr="00BD3477" w:rsidRDefault="00510DAC" w:rsidP="005B00E1">
      <w:pPr>
        <w:pStyle w:val="SectionHeader"/>
        <w:ind w:left="0"/>
        <w:rPr>
          <w:lang w:val="en-CA"/>
        </w:rPr>
      </w:pPr>
      <w:bookmarkStart w:id="11" w:name="_Toc372814358"/>
      <w:bookmarkStart w:id="12" w:name="_Toc450900449"/>
      <w:r w:rsidRPr="00BD3477">
        <w:rPr>
          <w:lang w:val="en-CA"/>
        </w:rPr>
        <w:t xml:space="preserve">2.0 </w:t>
      </w:r>
      <w:r w:rsidR="005B00E1">
        <w:rPr>
          <w:lang w:val="en-CA"/>
        </w:rPr>
        <w:t xml:space="preserve">Water Source </w:t>
      </w:r>
      <w:r w:rsidRPr="00BD3477">
        <w:rPr>
          <w:lang w:val="en-CA"/>
        </w:rPr>
        <w:t xml:space="preserve">Characterization </w:t>
      </w:r>
      <w:bookmarkEnd w:id="11"/>
      <w:bookmarkEnd w:id="12"/>
      <w:r w:rsidR="005B00E1">
        <w:rPr>
          <w:lang w:val="en-CA"/>
        </w:rPr>
        <w:t>(Module 1)</w:t>
      </w:r>
    </w:p>
    <w:p w14:paraId="22409D8E" w14:textId="0A839102" w:rsidR="005B3331" w:rsidRPr="00DE2B45" w:rsidRDefault="00DE2B45" w:rsidP="00DE2B45">
      <w:pPr>
        <w:jc w:val="both"/>
        <w:rPr>
          <w:rFonts w:cs="Arial"/>
          <w:szCs w:val="22"/>
        </w:rPr>
      </w:pPr>
      <w:bookmarkStart w:id="13" w:name="_Toc372814359"/>
      <w:r w:rsidRPr="00B23C7B">
        <w:rPr>
          <w:rFonts w:cs="Arial"/>
          <w:color w:val="ED7D31" w:themeColor="accent2"/>
          <w:szCs w:val="22"/>
        </w:rPr>
        <w:t xml:space="preserve">The intent of Module </w:t>
      </w:r>
      <w:r>
        <w:rPr>
          <w:rFonts w:cs="Arial"/>
          <w:color w:val="ED7D31" w:themeColor="accent2"/>
          <w:szCs w:val="22"/>
        </w:rPr>
        <w:t>1</w:t>
      </w:r>
      <w:r w:rsidRPr="00B23C7B">
        <w:rPr>
          <w:rFonts w:cs="Arial"/>
          <w:color w:val="ED7D31" w:themeColor="accent2"/>
          <w:szCs w:val="22"/>
        </w:rPr>
        <w:t xml:space="preserve"> is to </w:t>
      </w:r>
      <w:r w:rsidR="00CF30BD">
        <w:rPr>
          <w:rFonts w:cs="Arial"/>
          <w:color w:val="ED7D31" w:themeColor="accent2"/>
          <w:szCs w:val="22"/>
        </w:rPr>
        <w:t xml:space="preserve">delineate the catchment area and provide a description and assessment of the natural features of the water source and catchment area. </w:t>
      </w:r>
      <w:r w:rsidR="00E278B8">
        <w:rPr>
          <w:rFonts w:cs="Arial"/>
          <w:color w:val="ED7D31" w:themeColor="accent2"/>
          <w:szCs w:val="22"/>
        </w:rPr>
        <w:t xml:space="preserve">The headings below are provided as examples. </w:t>
      </w:r>
      <w:r w:rsidR="00E278B8" w:rsidRPr="00E278B8">
        <w:rPr>
          <w:rFonts w:cs="Arial"/>
          <w:color w:val="ED7D31" w:themeColor="accent2"/>
          <w:szCs w:val="22"/>
          <w:highlight w:val="yellow"/>
        </w:rPr>
        <w:t>Other topics, such as mining development</w:t>
      </w:r>
      <w:r w:rsidR="00CC42FD">
        <w:rPr>
          <w:rFonts w:cs="Arial"/>
          <w:color w:val="ED7D31" w:themeColor="accent2"/>
          <w:szCs w:val="22"/>
          <w:highlight w:val="yellow"/>
        </w:rPr>
        <w:t>, may be relevant to the S</w:t>
      </w:r>
      <w:r w:rsidR="00656A2B">
        <w:rPr>
          <w:rFonts w:cs="Arial"/>
          <w:color w:val="ED7D31" w:themeColor="accent2"/>
          <w:szCs w:val="22"/>
          <w:highlight w:val="yellow"/>
        </w:rPr>
        <w:t xml:space="preserve">ource </w:t>
      </w:r>
      <w:r w:rsidR="00CC42FD">
        <w:rPr>
          <w:rFonts w:cs="Arial"/>
          <w:color w:val="ED7D31" w:themeColor="accent2"/>
          <w:szCs w:val="22"/>
          <w:highlight w:val="yellow"/>
        </w:rPr>
        <w:t>Water Assessment</w:t>
      </w:r>
      <w:r w:rsidR="00E278B8" w:rsidRPr="00E278B8">
        <w:rPr>
          <w:rFonts w:cs="Arial"/>
          <w:color w:val="ED7D31" w:themeColor="accent2"/>
          <w:szCs w:val="22"/>
          <w:highlight w:val="yellow"/>
        </w:rPr>
        <w:t>.</w:t>
      </w:r>
      <w:r w:rsidR="00E278B8">
        <w:rPr>
          <w:rFonts w:cs="Arial"/>
          <w:color w:val="ED7D31" w:themeColor="accent2"/>
          <w:szCs w:val="22"/>
        </w:rPr>
        <w:t xml:space="preserve"> </w:t>
      </w:r>
    </w:p>
    <w:p w14:paraId="6A1A7047" w14:textId="77777777" w:rsidR="00DE2B45" w:rsidRPr="00616E98" w:rsidRDefault="00DE2B45" w:rsidP="00616E98"/>
    <w:p w14:paraId="23E92705" w14:textId="0769E546" w:rsidR="00510DAC" w:rsidRDefault="00510DAC" w:rsidP="00E76403">
      <w:pPr>
        <w:pStyle w:val="sub-subsectionheader"/>
        <w:ind w:left="851" w:hanging="425"/>
      </w:pPr>
      <w:bookmarkStart w:id="14" w:name="_Toc450900450"/>
      <w:r w:rsidRPr="001E0364">
        <w:t xml:space="preserve">2.1 </w:t>
      </w:r>
      <w:bookmarkEnd w:id="13"/>
      <w:bookmarkEnd w:id="14"/>
      <w:r w:rsidR="00E76403">
        <w:tab/>
      </w:r>
      <w:r w:rsidR="0063423D">
        <w:t>Watershed Characteristics</w:t>
      </w:r>
    </w:p>
    <w:p w14:paraId="048D7431" w14:textId="77777777" w:rsidR="00BC1D7F" w:rsidRPr="001E0364" w:rsidRDefault="00BC1D7F" w:rsidP="00E76403">
      <w:pPr>
        <w:pStyle w:val="sub-subsectionheader"/>
        <w:ind w:left="851" w:hanging="425"/>
      </w:pPr>
    </w:p>
    <w:p w14:paraId="5FD36056" w14:textId="00A44478" w:rsidR="00BC1D7F" w:rsidRDefault="00510DAC" w:rsidP="00E76403">
      <w:pPr>
        <w:pStyle w:val="sub-subsectionheader"/>
        <w:ind w:left="851"/>
        <w:rPr>
          <w:b w:val="0"/>
        </w:rPr>
      </w:pPr>
      <w:bookmarkStart w:id="15" w:name="_Toc450900451"/>
      <w:r w:rsidRPr="00BB4185">
        <w:rPr>
          <w:b w:val="0"/>
        </w:rPr>
        <w:t xml:space="preserve">2.1.1 </w:t>
      </w:r>
      <w:bookmarkEnd w:id="15"/>
      <w:r w:rsidR="00BC1D7F">
        <w:rPr>
          <w:b w:val="0"/>
        </w:rPr>
        <w:t xml:space="preserve">General Physical Characteristics </w:t>
      </w:r>
    </w:p>
    <w:p w14:paraId="0BD21580" w14:textId="5618CDD9" w:rsidR="00BC1D7F" w:rsidRPr="00DE2B45" w:rsidRDefault="00BC1D7F" w:rsidP="00BC1D7F">
      <w:pPr>
        <w:ind w:left="851"/>
        <w:jc w:val="both"/>
        <w:rPr>
          <w:rFonts w:cs="Arial"/>
          <w:szCs w:val="22"/>
        </w:rPr>
      </w:pPr>
      <w:r>
        <w:rPr>
          <w:rFonts w:cs="Arial"/>
          <w:color w:val="ED7D31" w:themeColor="accent2"/>
          <w:szCs w:val="22"/>
        </w:rPr>
        <w:t xml:space="preserve">Describe the general physical character of the study area. Include area, intake elevation, elevation range, and aspect of the watershed(s). </w:t>
      </w:r>
    </w:p>
    <w:p w14:paraId="38E357AE" w14:textId="77777777" w:rsidR="00BC1D7F" w:rsidRDefault="00BC1D7F" w:rsidP="00E76403">
      <w:pPr>
        <w:pStyle w:val="sub-subsectionheader"/>
        <w:ind w:left="851"/>
        <w:rPr>
          <w:b w:val="0"/>
        </w:rPr>
      </w:pPr>
    </w:p>
    <w:p w14:paraId="5B08836E" w14:textId="7DCA0149" w:rsidR="00510DAC" w:rsidRDefault="00BC1D7F" w:rsidP="00E76403">
      <w:pPr>
        <w:pStyle w:val="sub-subsectionheader"/>
        <w:ind w:left="851"/>
        <w:rPr>
          <w:b w:val="0"/>
        </w:rPr>
      </w:pPr>
      <w:r>
        <w:rPr>
          <w:b w:val="0"/>
        </w:rPr>
        <w:t xml:space="preserve">2.1.2 </w:t>
      </w:r>
      <w:r w:rsidR="0063423D" w:rsidRPr="00BB4185">
        <w:rPr>
          <w:b w:val="0"/>
        </w:rPr>
        <w:t>Geology</w:t>
      </w:r>
      <w:r>
        <w:rPr>
          <w:b w:val="0"/>
        </w:rPr>
        <w:t xml:space="preserve"> and </w:t>
      </w:r>
      <w:r w:rsidR="0063423D" w:rsidRPr="00BB4185">
        <w:rPr>
          <w:b w:val="0"/>
        </w:rPr>
        <w:t xml:space="preserve">Geomorphology </w:t>
      </w:r>
    </w:p>
    <w:p w14:paraId="2336DB5B" w14:textId="5E135AF9" w:rsidR="00BC1D7F" w:rsidRPr="00BC1D7F" w:rsidRDefault="00BC1D7F" w:rsidP="00E76403">
      <w:pPr>
        <w:pStyle w:val="sub-subsectionheader"/>
        <w:ind w:left="851"/>
        <w:rPr>
          <w:b w:val="0"/>
        </w:rPr>
      </w:pPr>
      <w:r w:rsidRPr="00BC1D7F">
        <w:rPr>
          <w:b w:val="0"/>
          <w:color w:val="ED7D31" w:themeColor="accent2"/>
        </w:rPr>
        <w:t xml:space="preserve">Describe the </w:t>
      </w:r>
      <w:r>
        <w:rPr>
          <w:b w:val="0"/>
          <w:color w:val="ED7D31" w:themeColor="accent2"/>
        </w:rPr>
        <w:t>different rock, sediment and terrain types distributed across the study area.</w:t>
      </w:r>
    </w:p>
    <w:p w14:paraId="6C0B92D4" w14:textId="77777777" w:rsidR="00BC1D7F" w:rsidRPr="00BB4185" w:rsidRDefault="00BC1D7F" w:rsidP="00E76403">
      <w:pPr>
        <w:pStyle w:val="sub-subsectionheader"/>
        <w:ind w:left="851"/>
        <w:rPr>
          <w:b w:val="0"/>
        </w:rPr>
      </w:pPr>
    </w:p>
    <w:p w14:paraId="45262ECD" w14:textId="63BDF577" w:rsidR="00510DAC" w:rsidRDefault="00BC1D7F" w:rsidP="00E76403">
      <w:pPr>
        <w:pStyle w:val="sub-subsectionheader"/>
        <w:ind w:left="851"/>
        <w:rPr>
          <w:b w:val="0"/>
        </w:rPr>
      </w:pPr>
      <w:bookmarkStart w:id="16" w:name="_Toc450900452"/>
      <w:r>
        <w:rPr>
          <w:b w:val="0"/>
        </w:rPr>
        <w:t>2.1.3</w:t>
      </w:r>
      <w:r w:rsidR="00510DAC" w:rsidRPr="00BB4185">
        <w:rPr>
          <w:b w:val="0"/>
        </w:rPr>
        <w:t xml:space="preserve"> </w:t>
      </w:r>
      <w:bookmarkEnd w:id="16"/>
      <w:r w:rsidR="00976D8B" w:rsidRPr="00BB4185">
        <w:rPr>
          <w:b w:val="0"/>
        </w:rPr>
        <w:t>Terrain Stability (Landslides and Snow Avalanches)</w:t>
      </w:r>
    </w:p>
    <w:p w14:paraId="097ED23E" w14:textId="26C02A12" w:rsidR="00E67334" w:rsidRPr="00E67334" w:rsidRDefault="00E67334" w:rsidP="00E67334">
      <w:pPr>
        <w:ind w:left="851"/>
        <w:jc w:val="both"/>
        <w:rPr>
          <w:rFonts w:cs="Arial"/>
          <w:szCs w:val="22"/>
        </w:rPr>
      </w:pPr>
      <w:r>
        <w:rPr>
          <w:rFonts w:cs="Arial"/>
          <w:color w:val="ED7D31" w:themeColor="accent2"/>
          <w:szCs w:val="22"/>
        </w:rPr>
        <w:t xml:space="preserve">Describe the relief, </w:t>
      </w:r>
      <w:proofErr w:type="gramStart"/>
      <w:r>
        <w:rPr>
          <w:rFonts w:cs="Arial"/>
          <w:color w:val="ED7D31" w:themeColor="accent2"/>
          <w:szCs w:val="22"/>
        </w:rPr>
        <w:t>aspect</w:t>
      </w:r>
      <w:proofErr w:type="gramEnd"/>
      <w:r>
        <w:rPr>
          <w:rFonts w:cs="Arial"/>
          <w:color w:val="ED7D31" w:themeColor="accent2"/>
          <w:szCs w:val="22"/>
        </w:rPr>
        <w:t xml:space="preserve"> and slope class distribution. Describe slope stability characteristics and the likelihood of landslides or avalanches.</w:t>
      </w:r>
    </w:p>
    <w:p w14:paraId="7724B325" w14:textId="2D431B88" w:rsidR="00E67334" w:rsidRDefault="00E67334" w:rsidP="00E76403">
      <w:pPr>
        <w:pStyle w:val="sub-subsectionheader"/>
        <w:ind w:left="851"/>
        <w:rPr>
          <w:b w:val="0"/>
        </w:rPr>
      </w:pPr>
    </w:p>
    <w:p w14:paraId="0283EB4E" w14:textId="77777777" w:rsidR="00F5218F" w:rsidRPr="00BB4185" w:rsidRDefault="00F5218F" w:rsidP="00E76403">
      <w:pPr>
        <w:pStyle w:val="sub-subsectionheader"/>
        <w:ind w:left="851"/>
        <w:rPr>
          <w:b w:val="0"/>
        </w:rPr>
      </w:pPr>
    </w:p>
    <w:p w14:paraId="4B407D61" w14:textId="1502038F" w:rsidR="00510DAC" w:rsidRDefault="00510DAC" w:rsidP="00E76403">
      <w:pPr>
        <w:pStyle w:val="sub-subsectionheader"/>
        <w:ind w:left="851"/>
        <w:rPr>
          <w:b w:val="0"/>
        </w:rPr>
      </w:pPr>
      <w:bookmarkStart w:id="17" w:name="_Toc450900453"/>
      <w:r w:rsidRPr="00BB4185">
        <w:rPr>
          <w:b w:val="0"/>
        </w:rPr>
        <w:t>2.1.</w:t>
      </w:r>
      <w:r w:rsidR="00BC1D7F">
        <w:rPr>
          <w:b w:val="0"/>
        </w:rPr>
        <w:t>4</w:t>
      </w:r>
      <w:r w:rsidRPr="00BB4185">
        <w:rPr>
          <w:b w:val="0"/>
        </w:rPr>
        <w:t xml:space="preserve"> </w:t>
      </w:r>
      <w:bookmarkEnd w:id="17"/>
      <w:r w:rsidR="00976D8B" w:rsidRPr="00BB4185">
        <w:rPr>
          <w:b w:val="0"/>
        </w:rPr>
        <w:t>Debris Flow and Debris Flood Potential</w:t>
      </w:r>
    </w:p>
    <w:p w14:paraId="3EE12305" w14:textId="53B4E645" w:rsidR="00E67334" w:rsidRPr="00DE2B45" w:rsidRDefault="00E67334" w:rsidP="00E67334">
      <w:pPr>
        <w:ind w:left="851"/>
        <w:jc w:val="both"/>
        <w:rPr>
          <w:rFonts w:cs="Arial"/>
          <w:szCs w:val="22"/>
        </w:rPr>
      </w:pPr>
      <w:r>
        <w:rPr>
          <w:rFonts w:cs="Arial"/>
          <w:color w:val="ED7D31" w:themeColor="accent2"/>
          <w:szCs w:val="22"/>
        </w:rPr>
        <w:t>Describe the potential for debris flow and debris flood in the study area.</w:t>
      </w:r>
    </w:p>
    <w:p w14:paraId="3581C4DF" w14:textId="3AA01D6E" w:rsidR="00A243F8" w:rsidRDefault="00A243F8" w:rsidP="00A243F8">
      <w:pPr>
        <w:rPr>
          <w:rFonts w:cs="Arial"/>
          <w:color w:val="000000"/>
          <w:lang w:val="en-CA"/>
        </w:rPr>
      </w:pPr>
    </w:p>
    <w:p w14:paraId="422DEDC9" w14:textId="4CE974D2" w:rsidR="00976D8B" w:rsidRDefault="00976D8B" w:rsidP="00E76403">
      <w:pPr>
        <w:pStyle w:val="sub-subsectionheader"/>
        <w:ind w:left="851" w:hanging="425"/>
      </w:pPr>
      <w:r>
        <w:t xml:space="preserve">2.2 </w:t>
      </w:r>
      <w:r w:rsidR="00E76403">
        <w:tab/>
      </w:r>
      <w:r>
        <w:t>Watershed Hydrology</w:t>
      </w:r>
    </w:p>
    <w:p w14:paraId="33337C93" w14:textId="5FE32E88" w:rsidR="00E67334" w:rsidRPr="00EC4F1C" w:rsidRDefault="00E67334" w:rsidP="00EC4F1C">
      <w:pPr>
        <w:ind w:left="426"/>
        <w:jc w:val="both"/>
        <w:rPr>
          <w:rFonts w:cs="Arial"/>
          <w:szCs w:val="22"/>
        </w:rPr>
      </w:pPr>
      <w:r>
        <w:rPr>
          <w:rFonts w:cs="Arial"/>
          <w:color w:val="ED7D31" w:themeColor="accent2"/>
          <w:szCs w:val="22"/>
        </w:rPr>
        <w:t xml:space="preserve">Describe the hydrometric stations, hydrology, and hydrologic hazards in the study area.  </w:t>
      </w:r>
    </w:p>
    <w:p w14:paraId="056A2BBC" w14:textId="796D2BF3" w:rsidR="00976D8B" w:rsidRPr="00BD3477" w:rsidRDefault="00976D8B" w:rsidP="00E76403">
      <w:pPr>
        <w:ind w:left="426"/>
        <w:rPr>
          <w:rFonts w:cs="Arial"/>
          <w:color w:val="000000"/>
          <w:lang w:val="en-CA"/>
        </w:rPr>
      </w:pPr>
    </w:p>
    <w:p w14:paraId="4E6A7C39" w14:textId="217B1E39" w:rsidR="00A243F8" w:rsidRDefault="00976D8B" w:rsidP="00E76403">
      <w:pPr>
        <w:pStyle w:val="sub-subsectionheader"/>
        <w:ind w:left="851" w:hanging="425"/>
      </w:pPr>
      <w:bookmarkStart w:id="18" w:name="_Toc372814360"/>
      <w:bookmarkStart w:id="19" w:name="_Toc450900455"/>
      <w:r>
        <w:t>2.3</w:t>
      </w:r>
      <w:r w:rsidR="004E1C2F">
        <w:t xml:space="preserve"> </w:t>
      </w:r>
      <w:bookmarkEnd w:id="18"/>
      <w:bookmarkEnd w:id="19"/>
      <w:r w:rsidR="00E76403">
        <w:tab/>
      </w:r>
      <w:r>
        <w:t xml:space="preserve">Water </w:t>
      </w:r>
      <w:r w:rsidR="00E67334">
        <w:t>System Characteristics</w:t>
      </w:r>
    </w:p>
    <w:p w14:paraId="454D738C" w14:textId="77777777" w:rsidR="00E67334" w:rsidRPr="00BD3477" w:rsidRDefault="00E67334" w:rsidP="00E76403">
      <w:pPr>
        <w:pStyle w:val="sub-subsectionheader"/>
        <w:ind w:left="851" w:hanging="425"/>
      </w:pPr>
    </w:p>
    <w:p w14:paraId="60A8934F" w14:textId="013F5B20" w:rsidR="00E67334" w:rsidRDefault="00D713B4" w:rsidP="00E76403">
      <w:pPr>
        <w:pStyle w:val="sub-subsectionheader"/>
        <w:ind w:left="851"/>
        <w:rPr>
          <w:b w:val="0"/>
        </w:rPr>
      </w:pPr>
      <w:bookmarkStart w:id="20" w:name="_Toc450900457"/>
      <w:bookmarkStart w:id="21" w:name="_Toc450900456"/>
      <w:r w:rsidRPr="00BB4185">
        <w:rPr>
          <w:b w:val="0"/>
        </w:rPr>
        <w:t>2.</w:t>
      </w:r>
      <w:r w:rsidR="00976D8B" w:rsidRPr="00BB4185">
        <w:rPr>
          <w:b w:val="0"/>
        </w:rPr>
        <w:t>3.1</w:t>
      </w:r>
      <w:r w:rsidRPr="00BB4185">
        <w:rPr>
          <w:b w:val="0"/>
        </w:rPr>
        <w:t xml:space="preserve"> </w:t>
      </w:r>
      <w:bookmarkEnd w:id="20"/>
      <w:r w:rsidR="00E67334">
        <w:rPr>
          <w:b w:val="0"/>
        </w:rPr>
        <w:t xml:space="preserve">Water Licences and Intakes </w:t>
      </w:r>
    </w:p>
    <w:p w14:paraId="24DE99EF" w14:textId="498AFA11" w:rsidR="00E67334" w:rsidRPr="00DE2B45" w:rsidRDefault="00E67334" w:rsidP="00E67334">
      <w:pPr>
        <w:ind w:left="851"/>
        <w:jc w:val="both"/>
        <w:rPr>
          <w:rFonts w:cs="Arial"/>
          <w:szCs w:val="22"/>
        </w:rPr>
      </w:pPr>
      <w:r>
        <w:rPr>
          <w:rFonts w:cs="Arial"/>
          <w:color w:val="ED7D31" w:themeColor="accent2"/>
          <w:szCs w:val="22"/>
        </w:rPr>
        <w:t>List the licensed Points of Diversion and describe their characteristics, such as licensed use</w:t>
      </w:r>
      <w:r w:rsidR="00CF30BD">
        <w:rPr>
          <w:rFonts w:cs="Arial"/>
          <w:color w:val="ED7D31" w:themeColor="accent2"/>
          <w:szCs w:val="22"/>
        </w:rPr>
        <w:t xml:space="preserve"> (</w:t>
      </w:r>
      <w:proofErr w:type="gramStart"/>
      <w:r w:rsidR="00CF30BD">
        <w:rPr>
          <w:rFonts w:cs="Arial"/>
          <w:color w:val="ED7D31" w:themeColor="accent2"/>
          <w:szCs w:val="22"/>
        </w:rPr>
        <w:t>e.g.</w:t>
      </w:r>
      <w:proofErr w:type="gramEnd"/>
      <w:r w:rsidR="00CF30BD">
        <w:rPr>
          <w:rFonts w:cs="Arial"/>
          <w:color w:val="ED7D31" w:themeColor="accent2"/>
          <w:szCs w:val="22"/>
        </w:rPr>
        <w:t xml:space="preserve"> Waterworks)</w:t>
      </w:r>
      <w:r>
        <w:rPr>
          <w:rFonts w:cs="Arial"/>
          <w:color w:val="ED7D31" w:themeColor="accent2"/>
          <w:szCs w:val="22"/>
        </w:rPr>
        <w:t xml:space="preserve">, </w:t>
      </w:r>
      <w:r w:rsidR="00CF30BD">
        <w:rPr>
          <w:rFonts w:cs="Arial"/>
          <w:color w:val="ED7D31" w:themeColor="accent2"/>
          <w:szCs w:val="22"/>
        </w:rPr>
        <w:t xml:space="preserve">date </w:t>
      </w:r>
      <w:proofErr w:type="spellStart"/>
      <w:r w:rsidR="00CF30BD">
        <w:rPr>
          <w:rFonts w:cs="Arial"/>
          <w:color w:val="ED7D31" w:themeColor="accent2"/>
          <w:szCs w:val="22"/>
        </w:rPr>
        <w:t>licences</w:t>
      </w:r>
      <w:proofErr w:type="spellEnd"/>
      <w:r w:rsidR="00CF30BD">
        <w:rPr>
          <w:rFonts w:cs="Arial"/>
          <w:color w:val="ED7D31" w:themeColor="accent2"/>
          <w:szCs w:val="22"/>
        </w:rPr>
        <w:t xml:space="preserve"> were obtained, and location and features and condition of the intakes and diversion works. </w:t>
      </w:r>
    </w:p>
    <w:p w14:paraId="5E4230E4" w14:textId="53ABAABA" w:rsidR="00E67334" w:rsidRDefault="00E67334" w:rsidP="00E278B8">
      <w:pPr>
        <w:pStyle w:val="sub-subsectionheader"/>
        <w:rPr>
          <w:b w:val="0"/>
        </w:rPr>
      </w:pPr>
    </w:p>
    <w:p w14:paraId="19198EF5" w14:textId="73A82BA6" w:rsidR="00D713B4" w:rsidRDefault="00E67334" w:rsidP="00E76403">
      <w:pPr>
        <w:pStyle w:val="sub-subsectionheader"/>
        <w:ind w:left="851"/>
        <w:rPr>
          <w:b w:val="0"/>
        </w:rPr>
      </w:pPr>
      <w:r>
        <w:rPr>
          <w:b w:val="0"/>
        </w:rPr>
        <w:t xml:space="preserve">2.3.2 </w:t>
      </w:r>
      <w:r w:rsidR="00976D8B" w:rsidRPr="00BB4185">
        <w:rPr>
          <w:b w:val="0"/>
        </w:rPr>
        <w:t>Water Distribution Infrastructure</w:t>
      </w:r>
    </w:p>
    <w:p w14:paraId="3F58A218" w14:textId="1191ECFE" w:rsidR="00CF30BD" w:rsidRPr="00DE2B45" w:rsidRDefault="00CF30BD" w:rsidP="00CF30BD">
      <w:pPr>
        <w:ind w:left="851"/>
        <w:jc w:val="both"/>
        <w:rPr>
          <w:rFonts w:cs="Arial"/>
          <w:szCs w:val="22"/>
        </w:rPr>
      </w:pPr>
      <w:r>
        <w:rPr>
          <w:rFonts w:cs="Arial"/>
          <w:color w:val="ED7D31" w:themeColor="accent2"/>
          <w:szCs w:val="22"/>
        </w:rPr>
        <w:t xml:space="preserve">Describe the distribution infrastructure and network. </w:t>
      </w:r>
    </w:p>
    <w:p w14:paraId="729B438C" w14:textId="5A1D4B34" w:rsidR="00976D8B" w:rsidRDefault="00976D8B" w:rsidP="00D713B4">
      <w:pPr>
        <w:pStyle w:val="sub-subsectionheader"/>
      </w:pPr>
    </w:p>
    <w:p w14:paraId="42F3EC07" w14:textId="263D80CD" w:rsidR="00E76403" w:rsidRDefault="00E76403" w:rsidP="00E76403">
      <w:pPr>
        <w:pStyle w:val="sub-subsectionheader"/>
        <w:ind w:left="851" w:hanging="425"/>
      </w:pPr>
      <w:r>
        <w:t xml:space="preserve">2.4 </w:t>
      </w:r>
      <w:r>
        <w:tab/>
        <w:t>Forest Health and Riparian Vegetation</w:t>
      </w:r>
    </w:p>
    <w:p w14:paraId="2082F89D" w14:textId="497FD31E" w:rsidR="00CF30BD" w:rsidRPr="00E278B8" w:rsidRDefault="00CF30BD" w:rsidP="00E278B8">
      <w:pPr>
        <w:ind w:left="426"/>
        <w:jc w:val="both"/>
        <w:rPr>
          <w:rFonts w:cs="Arial"/>
          <w:szCs w:val="22"/>
        </w:rPr>
      </w:pPr>
      <w:r>
        <w:rPr>
          <w:rFonts w:cs="Arial"/>
          <w:color w:val="ED7D31" w:themeColor="accent2"/>
          <w:szCs w:val="22"/>
        </w:rPr>
        <w:t xml:space="preserve">Describe the </w:t>
      </w:r>
      <w:proofErr w:type="spellStart"/>
      <w:r w:rsidR="00E278B8">
        <w:rPr>
          <w:rFonts w:cs="Arial"/>
          <w:color w:val="ED7D31" w:themeColor="accent2"/>
          <w:szCs w:val="22"/>
        </w:rPr>
        <w:t>biogeoclimatic</w:t>
      </w:r>
      <w:proofErr w:type="spellEnd"/>
      <w:r w:rsidR="00E278B8">
        <w:rPr>
          <w:rFonts w:cs="Arial"/>
          <w:color w:val="ED7D31" w:themeColor="accent2"/>
          <w:szCs w:val="22"/>
        </w:rPr>
        <w:t xml:space="preserve"> subzones and the overall health of the forest cover and riparian vegetation. Discuss any forest or riparian health issues. </w:t>
      </w:r>
    </w:p>
    <w:p w14:paraId="42F958AE" w14:textId="5DC90991" w:rsidR="00E76403" w:rsidRDefault="00E76403" w:rsidP="00D713B4">
      <w:pPr>
        <w:pStyle w:val="sub-subsectionheader"/>
      </w:pPr>
    </w:p>
    <w:p w14:paraId="3B8EF212" w14:textId="0D2BF9E6" w:rsidR="00EC4F1C" w:rsidRPr="00BD3477" w:rsidRDefault="00EC4F1C" w:rsidP="00EC4F1C">
      <w:pPr>
        <w:pStyle w:val="sub-subsectionheader"/>
        <w:ind w:left="851" w:hanging="425"/>
      </w:pPr>
      <w:bookmarkStart w:id="22" w:name="_Toc372814361"/>
      <w:bookmarkStart w:id="23" w:name="_Toc450900464"/>
      <w:r>
        <w:t>2.5</w:t>
      </w:r>
      <w:r w:rsidRPr="00BD3477">
        <w:t xml:space="preserve"> </w:t>
      </w:r>
      <w:bookmarkEnd w:id="22"/>
      <w:bookmarkEnd w:id="23"/>
      <w:r>
        <w:tab/>
        <w:t>Forest Development</w:t>
      </w:r>
    </w:p>
    <w:p w14:paraId="75E974A7" w14:textId="77777777" w:rsidR="00EC4F1C" w:rsidRDefault="00EC4F1C" w:rsidP="00EC4F1C">
      <w:pPr>
        <w:pStyle w:val="sub-subsectionheader"/>
        <w:ind w:left="851"/>
        <w:rPr>
          <w:b w:val="0"/>
        </w:rPr>
      </w:pPr>
      <w:r w:rsidRPr="00BB4185">
        <w:rPr>
          <w:b w:val="0"/>
        </w:rPr>
        <w:t xml:space="preserve">2.6.1 </w:t>
      </w:r>
      <w:r>
        <w:rPr>
          <w:b w:val="0"/>
        </w:rPr>
        <w:t>Forest Licensees</w:t>
      </w:r>
    </w:p>
    <w:p w14:paraId="182D1BE3" w14:textId="77777777" w:rsidR="00EC4F1C" w:rsidRPr="00DE2B45" w:rsidRDefault="00EC4F1C" w:rsidP="00EC4F1C">
      <w:pPr>
        <w:ind w:left="851"/>
        <w:jc w:val="both"/>
        <w:rPr>
          <w:rFonts w:cs="Arial"/>
          <w:szCs w:val="22"/>
        </w:rPr>
      </w:pPr>
      <w:r>
        <w:rPr>
          <w:rFonts w:cs="Arial"/>
          <w:color w:val="ED7D31" w:themeColor="accent2"/>
          <w:szCs w:val="22"/>
        </w:rPr>
        <w:t xml:space="preserve">Describe the forest licensees operating within, or near, the study area. </w:t>
      </w:r>
    </w:p>
    <w:p w14:paraId="159398A0" w14:textId="77777777" w:rsidR="00EC4F1C" w:rsidRPr="00656A2B" w:rsidRDefault="00EC4F1C" w:rsidP="00EC4F1C">
      <w:pPr>
        <w:pStyle w:val="NoSpacing"/>
      </w:pPr>
    </w:p>
    <w:p w14:paraId="5A52FEB3" w14:textId="77777777" w:rsidR="00EC4F1C" w:rsidRDefault="00EC4F1C" w:rsidP="00EC4F1C">
      <w:pPr>
        <w:pStyle w:val="sub-subsectionheader"/>
        <w:ind w:left="851"/>
        <w:rPr>
          <w:b w:val="0"/>
        </w:rPr>
      </w:pPr>
      <w:r w:rsidRPr="00BB4185">
        <w:rPr>
          <w:b w:val="0"/>
        </w:rPr>
        <w:t xml:space="preserve">2.6.2 </w:t>
      </w:r>
      <w:r>
        <w:rPr>
          <w:b w:val="0"/>
        </w:rPr>
        <w:t>Forest Development (Past, Present and Future)</w:t>
      </w:r>
    </w:p>
    <w:p w14:paraId="3D020B4B" w14:textId="1278162A" w:rsidR="00EC4F1C" w:rsidRDefault="00EC4F1C" w:rsidP="00EC4F1C">
      <w:pPr>
        <w:ind w:left="851"/>
        <w:jc w:val="both"/>
        <w:rPr>
          <w:rFonts w:cs="Arial"/>
          <w:color w:val="ED7D31" w:themeColor="accent2"/>
          <w:szCs w:val="22"/>
        </w:rPr>
      </w:pPr>
      <w:r>
        <w:rPr>
          <w:rFonts w:cs="Arial"/>
          <w:color w:val="ED7D31" w:themeColor="accent2"/>
          <w:szCs w:val="22"/>
        </w:rPr>
        <w:t xml:space="preserve">Describe forest development activities in the study area, including </w:t>
      </w:r>
      <w:proofErr w:type="spellStart"/>
      <w:r>
        <w:rPr>
          <w:rFonts w:cs="Arial"/>
          <w:color w:val="ED7D31" w:themeColor="accent2"/>
          <w:szCs w:val="22"/>
        </w:rPr>
        <w:t>cutblocks</w:t>
      </w:r>
      <w:proofErr w:type="spellEnd"/>
      <w:r>
        <w:rPr>
          <w:rFonts w:cs="Arial"/>
          <w:color w:val="ED7D31" w:themeColor="accent2"/>
          <w:szCs w:val="22"/>
        </w:rPr>
        <w:t xml:space="preserve">, roads and road crossing sites. </w:t>
      </w:r>
    </w:p>
    <w:p w14:paraId="23F6FB89" w14:textId="77777777" w:rsidR="00EC4F1C" w:rsidRPr="00656A2B" w:rsidRDefault="00EC4F1C" w:rsidP="00EC4F1C">
      <w:pPr>
        <w:ind w:left="851"/>
        <w:jc w:val="both"/>
        <w:rPr>
          <w:rFonts w:cs="Arial"/>
          <w:szCs w:val="22"/>
        </w:rPr>
      </w:pPr>
    </w:p>
    <w:p w14:paraId="420CAC4E" w14:textId="0801D08D" w:rsidR="00E76403" w:rsidRPr="00BD3477" w:rsidRDefault="00EC4F1C" w:rsidP="00E76403">
      <w:pPr>
        <w:pStyle w:val="sub-subsectionheader"/>
        <w:ind w:left="851" w:hanging="425"/>
      </w:pPr>
      <w:r>
        <w:t>2.6</w:t>
      </w:r>
      <w:r w:rsidR="00E76403">
        <w:t xml:space="preserve"> </w:t>
      </w:r>
      <w:r w:rsidR="00E76403">
        <w:tab/>
        <w:t>Wildfire</w:t>
      </w:r>
    </w:p>
    <w:p w14:paraId="60C7DFE1" w14:textId="50C0CD80" w:rsidR="00E76403" w:rsidRDefault="00E76403" w:rsidP="00E76403">
      <w:pPr>
        <w:pStyle w:val="sub-subsectionheader"/>
        <w:ind w:left="851"/>
        <w:rPr>
          <w:b w:val="0"/>
        </w:rPr>
      </w:pPr>
      <w:r w:rsidRPr="00BB4185">
        <w:rPr>
          <w:b w:val="0"/>
        </w:rPr>
        <w:t>2.5.1 Historic Wildfires</w:t>
      </w:r>
    </w:p>
    <w:p w14:paraId="7DE122CB" w14:textId="40063B10" w:rsidR="00E278B8" w:rsidRPr="00DE2B45" w:rsidRDefault="00E278B8" w:rsidP="00E278B8">
      <w:pPr>
        <w:ind w:left="851"/>
        <w:jc w:val="both"/>
        <w:rPr>
          <w:rFonts w:cs="Arial"/>
          <w:szCs w:val="22"/>
        </w:rPr>
      </w:pPr>
      <w:r>
        <w:rPr>
          <w:rFonts w:cs="Arial"/>
          <w:color w:val="ED7D31" w:themeColor="accent2"/>
          <w:szCs w:val="22"/>
        </w:rPr>
        <w:t xml:space="preserve">Describe any historic wildfires and their impact on the study area. </w:t>
      </w:r>
    </w:p>
    <w:p w14:paraId="0F987E92" w14:textId="77777777" w:rsidR="00E278B8" w:rsidRPr="00BB4185" w:rsidRDefault="00E278B8" w:rsidP="00E76403">
      <w:pPr>
        <w:pStyle w:val="sub-subsectionheader"/>
        <w:ind w:left="851"/>
        <w:rPr>
          <w:b w:val="0"/>
        </w:rPr>
      </w:pPr>
    </w:p>
    <w:p w14:paraId="70F3FE62" w14:textId="6D0CFC08" w:rsidR="002F02CC" w:rsidRDefault="00E76403" w:rsidP="00E76403">
      <w:pPr>
        <w:pStyle w:val="sub-subsectionheader"/>
        <w:ind w:left="851"/>
      </w:pPr>
      <w:r w:rsidRPr="00BB4185">
        <w:rPr>
          <w:b w:val="0"/>
        </w:rPr>
        <w:t>2.5.2 Wildfire Hazard and Mitigation</w:t>
      </w:r>
      <w:bookmarkEnd w:id="21"/>
    </w:p>
    <w:p w14:paraId="0FDEA7DE" w14:textId="785779F2" w:rsidR="002F02CC" w:rsidRDefault="00E278B8" w:rsidP="00EC4F1C">
      <w:pPr>
        <w:ind w:left="851"/>
        <w:jc w:val="both"/>
        <w:rPr>
          <w:rFonts w:cs="Arial"/>
          <w:szCs w:val="22"/>
        </w:rPr>
      </w:pPr>
      <w:r>
        <w:rPr>
          <w:rFonts w:cs="Arial"/>
          <w:color w:val="ED7D31" w:themeColor="accent2"/>
          <w:szCs w:val="22"/>
        </w:rPr>
        <w:t>Describe the potential for wildfires and how they would impact the watershed(s). List any wildfire plans or strategies related to the watershed(s</w:t>
      </w:r>
      <w:proofErr w:type="gramStart"/>
      <w:r>
        <w:rPr>
          <w:rFonts w:cs="Arial"/>
          <w:color w:val="ED7D31" w:themeColor="accent2"/>
          <w:szCs w:val="22"/>
        </w:rPr>
        <w:t>),and</w:t>
      </w:r>
      <w:proofErr w:type="gramEnd"/>
      <w:r>
        <w:rPr>
          <w:rFonts w:cs="Arial"/>
          <w:color w:val="ED7D31" w:themeColor="accent2"/>
          <w:szCs w:val="22"/>
        </w:rPr>
        <w:t xml:space="preserve"> describe any mitigation efforts underway or required in the watershed(s).</w:t>
      </w:r>
    </w:p>
    <w:p w14:paraId="14AEEB16" w14:textId="1288A81D" w:rsidR="00193369" w:rsidRDefault="00193369" w:rsidP="00A243F8">
      <w:pPr>
        <w:rPr>
          <w:rFonts w:cs="Arial"/>
        </w:rPr>
      </w:pPr>
    </w:p>
    <w:p w14:paraId="4FE996DE" w14:textId="18E3650E" w:rsidR="00BE13B2" w:rsidRDefault="00E76403" w:rsidP="00E76403">
      <w:pPr>
        <w:pStyle w:val="sub-subsectionheader"/>
        <w:ind w:left="851" w:hanging="425"/>
      </w:pPr>
      <w:bookmarkStart w:id="24" w:name="_Toc450900472"/>
      <w:r>
        <w:t>2.7</w:t>
      </w:r>
      <w:r w:rsidR="00704F1B">
        <w:t xml:space="preserve"> </w:t>
      </w:r>
      <w:bookmarkEnd w:id="24"/>
      <w:r>
        <w:tab/>
        <w:t>Recreation Use</w:t>
      </w:r>
    </w:p>
    <w:p w14:paraId="587AAAB3" w14:textId="0F3D2D9B" w:rsidR="00656A2B" w:rsidRPr="00656A2B" w:rsidRDefault="00656A2B" w:rsidP="00656A2B">
      <w:pPr>
        <w:ind w:left="426"/>
        <w:jc w:val="both"/>
        <w:rPr>
          <w:rFonts w:cs="Arial"/>
          <w:szCs w:val="22"/>
        </w:rPr>
      </w:pPr>
      <w:r>
        <w:rPr>
          <w:rFonts w:cs="Arial"/>
          <w:color w:val="ED7D31" w:themeColor="accent2"/>
          <w:szCs w:val="22"/>
        </w:rPr>
        <w:t>Describe recreation use in the study area, including motorized (</w:t>
      </w:r>
      <w:proofErr w:type="gramStart"/>
      <w:r>
        <w:rPr>
          <w:rFonts w:cs="Arial"/>
          <w:color w:val="ED7D31" w:themeColor="accent2"/>
          <w:szCs w:val="22"/>
        </w:rPr>
        <w:t>e.g.</w:t>
      </w:r>
      <w:proofErr w:type="gramEnd"/>
      <w:r>
        <w:rPr>
          <w:rFonts w:cs="Arial"/>
          <w:color w:val="ED7D31" w:themeColor="accent2"/>
          <w:szCs w:val="22"/>
        </w:rPr>
        <w:t xml:space="preserve"> ATVs), non-motorized (e.g. mountain biking), hiking, skiing and other activities. </w:t>
      </w:r>
    </w:p>
    <w:p w14:paraId="712BCD27" w14:textId="77777777" w:rsidR="00957084" w:rsidRPr="00183F64" w:rsidRDefault="00957084" w:rsidP="00E76403">
      <w:pPr>
        <w:pStyle w:val="sub-subsectionheader"/>
        <w:ind w:left="851" w:hanging="425"/>
      </w:pPr>
    </w:p>
    <w:p w14:paraId="40C1D0F9" w14:textId="390B3D32" w:rsidR="00FA3D8A" w:rsidRDefault="00E76403" w:rsidP="00E76403">
      <w:pPr>
        <w:pStyle w:val="sub-subsectionheader"/>
        <w:ind w:left="851" w:hanging="425"/>
      </w:pPr>
      <w:bookmarkStart w:id="25" w:name="_Toc372814362"/>
      <w:bookmarkStart w:id="26" w:name="_Toc450900478"/>
      <w:r>
        <w:t>2.8</w:t>
      </w:r>
      <w:r w:rsidR="00FA3D8A" w:rsidRPr="0043711C">
        <w:t xml:space="preserve"> </w:t>
      </w:r>
      <w:bookmarkEnd w:id="25"/>
      <w:bookmarkEnd w:id="26"/>
      <w:r>
        <w:tab/>
        <w:t>Source Water Quality</w:t>
      </w:r>
      <w:r w:rsidR="00FA3D8A" w:rsidRPr="0043711C">
        <w:t xml:space="preserve"> </w:t>
      </w:r>
    </w:p>
    <w:p w14:paraId="558B0EF4" w14:textId="68A95917" w:rsidR="00656A2B" w:rsidRPr="00656A2B" w:rsidRDefault="00656A2B" w:rsidP="00656A2B">
      <w:pPr>
        <w:ind w:left="426"/>
        <w:jc w:val="both"/>
        <w:rPr>
          <w:rFonts w:cs="Arial"/>
          <w:szCs w:val="22"/>
        </w:rPr>
      </w:pPr>
      <w:r>
        <w:rPr>
          <w:rFonts w:cs="Arial"/>
          <w:color w:val="ED7D31" w:themeColor="accent2"/>
          <w:szCs w:val="22"/>
        </w:rPr>
        <w:t xml:space="preserve">Discuss raw and treated water quality data and monitoring efforts for the study area. </w:t>
      </w:r>
    </w:p>
    <w:p w14:paraId="3438F1E8" w14:textId="2C8BBAF7" w:rsidR="005538B9" w:rsidRDefault="005538B9" w:rsidP="00656A2B">
      <w:pPr>
        <w:pStyle w:val="NoSpacing"/>
      </w:pPr>
    </w:p>
    <w:p w14:paraId="0790598B" w14:textId="77777777" w:rsidR="001D6EAF" w:rsidRDefault="001D6EAF" w:rsidP="00656A2B">
      <w:pPr>
        <w:pStyle w:val="NoSpacing"/>
      </w:pPr>
    </w:p>
    <w:p w14:paraId="7EA583D7" w14:textId="77777777" w:rsidR="00656A2B" w:rsidRDefault="00E76403" w:rsidP="00E76403">
      <w:pPr>
        <w:pStyle w:val="sub-subsectionheader"/>
        <w:ind w:left="851" w:hanging="425"/>
      </w:pPr>
      <w:r>
        <w:lastRenderedPageBreak/>
        <w:t>2.9</w:t>
      </w:r>
      <w:r w:rsidRPr="0043711C">
        <w:t xml:space="preserve"> </w:t>
      </w:r>
      <w:r>
        <w:tab/>
        <w:t>Water Availability</w:t>
      </w:r>
    </w:p>
    <w:p w14:paraId="4C475246" w14:textId="7393CF9E" w:rsidR="00E76403" w:rsidRPr="00EC4F1C" w:rsidRDefault="00656A2B" w:rsidP="00EC4F1C">
      <w:pPr>
        <w:ind w:left="426"/>
        <w:jc w:val="both"/>
        <w:rPr>
          <w:rFonts w:cs="Arial"/>
          <w:szCs w:val="22"/>
        </w:rPr>
      </w:pPr>
      <w:r>
        <w:rPr>
          <w:rFonts w:cs="Arial"/>
          <w:color w:val="ED7D31" w:themeColor="accent2"/>
          <w:szCs w:val="22"/>
        </w:rPr>
        <w:t xml:space="preserve">Discuss </w:t>
      </w:r>
      <w:r w:rsidR="00EC4F1C">
        <w:rPr>
          <w:rFonts w:cs="Arial"/>
          <w:color w:val="ED7D31" w:themeColor="accent2"/>
          <w:szCs w:val="22"/>
        </w:rPr>
        <w:t xml:space="preserve">water consumption and demand, including any potential water supply shortcomings and how they will be dealt with. </w:t>
      </w:r>
    </w:p>
    <w:p w14:paraId="0865EE6C" w14:textId="1F03FE61" w:rsidR="005538B9" w:rsidRDefault="005538B9" w:rsidP="00E76403">
      <w:pPr>
        <w:pStyle w:val="sub-subsectionheader"/>
        <w:ind w:left="851" w:hanging="425"/>
      </w:pPr>
    </w:p>
    <w:p w14:paraId="5E651ED8" w14:textId="4EF8E348" w:rsidR="00E76403" w:rsidRPr="0043711C" w:rsidRDefault="00E76403" w:rsidP="00E76403">
      <w:pPr>
        <w:pStyle w:val="sub-subsectionheader"/>
        <w:ind w:left="851" w:hanging="425"/>
      </w:pPr>
      <w:r>
        <w:t>2.10</w:t>
      </w:r>
      <w:r w:rsidRPr="0043711C">
        <w:t xml:space="preserve"> </w:t>
      </w:r>
      <w:r>
        <w:t>Climate and Predicted Climate Changes</w:t>
      </w:r>
      <w:r w:rsidRPr="0043711C">
        <w:t xml:space="preserve"> </w:t>
      </w:r>
    </w:p>
    <w:p w14:paraId="0DBCEFCE" w14:textId="154CA78D" w:rsidR="00EC4F1C" w:rsidRPr="00EC4F1C" w:rsidRDefault="00EC4F1C" w:rsidP="00EC4F1C">
      <w:pPr>
        <w:ind w:left="426"/>
        <w:jc w:val="both"/>
        <w:rPr>
          <w:rFonts w:cs="Arial"/>
          <w:szCs w:val="22"/>
        </w:rPr>
      </w:pPr>
      <w:r>
        <w:rPr>
          <w:rFonts w:cs="Arial"/>
          <w:color w:val="ED7D31" w:themeColor="accent2"/>
          <w:szCs w:val="22"/>
        </w:rPr>
        <w:t xml:space="preserve">Discuss climate change projections for the region and potential impacts to the water source. </w:t>
      </w:r>
    </w:p>
    <w:p w14:paraId="45292036" w14:textId="38C48E29" w:rsidR="00E76403" w:rsidRDefault="00E76403" w:rsidP="00E930A2"/>
    <w:p w14:paraId="41D7A48F" w14:textId="451EE5AF" w:rsidR="00FA3D8A" w:rsidRPr="00A02E77" w:rsidRDefault="00FA3D8A" w:rsidP="00FD2729">
      <w:pPr>
        <w:pStyle w:val="SectionHeader"/>
        <w:ind w:left="0"/>
      </w:pPr>
      <w:bookmarkStart w:id="27" w:name="_Toc372814363"/>
      <w:bookmarkStart w:id="28" w:name="_Toc450900485"/>
      <w:r w:rsidRPr="004A4ACA">
        <w:t xml:space="preserve">3.0 </w:t>
      </w:r>
      <w:bookmarkEnd w:id="27"/>
      <w:bookmarkEnd w:id="28"/>
      <w:r w:rsidR="005B00E1">
        <w:t>Potential Drinking Water Hazards (Module 2)</w:t>
      </w:r>
    </w:p>
    <w:p w14:paraId="601592A1" w14:textId="568B7AA6" w:rsidR="00DE2B45" w:rsidRDefault="00DE2B45" w:rsidP="00DE2B45">
      <w:pPr>
        <w:jc w:val="both"/>
        <w:rPr>
          <w:rFonts w:cs="Arial"/>
          <w:szCs w:val="22"/>
        </w:rPr>
      </w:pPr>
      <w:bookmarkStart w:id="29" w:name="_Toc442363636"/>
      <w:bookmarkStart w:id="30" w:name="_Toc372814364"/>
      <w:r w:rsidRPr="00B23C7B">
        <w:rPr>
          <w:rFonts w:cs="Arial"/>
          <w:color w:val="ED7D31" w:themeColor="accent2"/>
          <w:szCs w:val="22"/>
        </w:rPr>
        <w:t xml:space="preserve">The intent of Module </w:t>
      </w:r>
      <w:r>
        <w:rPr>
          <w:rFonts w:cs="Arial"/>
          <w:color w:val="ED7D31" w:themeColor="accent2"/>
          <w:szCs w:val="22"/>
        </w:rPr>
        <w:t>2</w:t>
      </w:r>
      <w:r w:rsidRPr="00B23C7B">
        <w:rPr>
          <w:rFonts w:cs="Arial"/>
          <w:color w:val="ED7D31" w:themeColor="accent2"/>
          <w:szCs w:val="22"/>
        </w:rPr>
        <w:t xml:space="preserve"> is to </w:t>
      </w:r>
      <w:r w:rsidR="00EC4F1C">
        <w:rPr>
          <w:rFonts w:cs="Arial"/>
          <w:color w:val="ED7D31" w:themeColor="accent2"/>
          <w:szCs w:val="22"/>
        </w:rPr>
        <w:t xml:space="preserve">conduct an inventory that identifies and describes land uses, human activities and other potential contaminant sources that could affect source water quality. </w:t>
      </w:r>
    </w:p>
    <w:p w14:paraId="59460056" w14:textId="77777777" w:rsidR="00E76403" w:rsidRDefault="00E76403" w:rsidP="00E76403">
      <w:pPr>
        <w:pStyle w:val="TableHeader"/>
      </w:pPr>
    </w:p>
    <w:p w14:paraId="4D8A1D34" w14:textId="063901E8" w:rsidR="00FA3D8A" w:rsidRPr="009445C0" w:rsidRDefault="00FA3D8A" w:rsidP="00FD2729">
      <w:pPr>
        <w:pStyle w:val="sub-subsectionheader"/>
        <w:ind w:left="426"/>
      </w:pPr>
      <w:bookmarkStart w:id="31" w:name="_Toc450900486"/>
      <w:bookmarkEnd w:id="29"/>
      <w:r w:rsidRPr="00D64B97">
        <w:t xml:space="preserve">3.1 </w:t>
      </w:r>
      <w:bookmarkEnd w:id="30"/>
      <w:bookmarkEnd w:id="31"/>
      <w:r w:rsidR="00FD2729">
        <w:t>Potential Hazards Associated with Forest Development</w:t>
      </w:r>
    </w:p>
    <w:p w14:paraId="2617B92A" w14:textId="41ABA825" w:rsidR="00CC5540" w:rsidRDefault="00CC5540" w:rsidP="00CC5540">
      <w:pPr>
        <w:ind w:left="426"/>
        <w:jc w:val="both"/>
        <w:rPr>
          <w:rFonts w:cs="Arial"/>
          <w:szCs w:val="22"/>
        </w:rPr>
      </w:pPr>
      <w:r>
        <w:rPr>
          <w:rFonts w:cs="Arial"/>
          <w:color w:val="ED7D31" w:themeColor="accent2"/>
          <w:szCs w:val="22"/>
        </w:rPr>
        <w:t xml:space="preserve">Describe how forest harvesting can impact watershed hydrology and affect source water quantity and quality. Also describe how roads and skid trails can impact the watershed. </w:t>
      </w:r>
    </w:p>
    <w:p w14:paraId="6149407A" w14:textId="542632D5" w:rsidR="002C0ACA" w:rsidRPr="00B23C7B" w:rsidRDefault="002C0ACA" w:rsidP="00FD2729">
      <w:pPr>
        <w:pStyle w:val="NoSpacing"/>
        <w:rPr>
          <w:noProof/>
          <w:lang w:val="en-CA" w:eastAsia="en-CA"/>
        </w:rPr>
      </w:pPr>
    </w:p>
    <w:p w14:paraId="4EF28377" w14:textId="4B6E590A" w:rsidR="00AA6F68" w:rsidRDefault="00AA6F68" w:rsidP="00FD2729">
      <w:pPr>
        <w:pStyle w:val="sub-subsectionheader"/>
        <w:ind w:left="426"/>
      </w:pPr>
      <w:bookmarkStart w:id="32" w:name="_Toc450900495"/>
      <w:r w:rsidRPr="0011789D">
        <w:t>3.2</w:t>
      </w:r>
      <w:r w:rsidRPr="00085F34">
        <w:t xml:space="preserve"> </w:t>
      </w:r>
      <w:bookmarkEnd w:id="32"/>
      <w:r w:rsidR="00FD2729">
        <w:t>Potential Ha</w:t>
      </w:r>
      <w:r w:rsidR="00201D07">
        <w:t>zards Associated with Wildfires and Declining Forest Health</w:t>
      </w:r>
    </w:p>
    <w:p w14:paraId="635AB12B" w14:textId="757DAFF0" w:rsidR="00CC5540" w:rsidRPr="00CC5540" w:rsidRDefault="00CC5540" w:rsidP="00CC5540">
      <w:pPr>
        <w:ind w:left="426"/>
        <w:jc w:val="both"/>
        <w:rPr>
          <w:rFonts w:cs="Arial"/>
          <w:szCs w:val="22"/>
        </w:rPr>
      </w:pPr>
      <w:r>
        <w:rPr>
          <w:rFonts w:cs="Arial"/>
          <w:color w:val="ED7D31" w:themeColor="accent2"/>
          <w:szCs w:val="22"/>
        </w:rPr>
        <w:t xml:space="preserve">Describe how wildfire and declining forest health (due to mountain pine beetle, for example) can impact water quality and quantity.  </w:t>
      </w:r>
    </w:p>
    <w:p w14:paraId="1E874EE5" w14:textId="77777777" w:rsidR="00EC232F" w:rsidRPr="00B05722" w:rsidRDefault="00EC232F" w:rsidP="00B05722"/>
    <w:p w14:paraId="08AF3292" w14:textId="57ADFB53" w:rsidR="002D5A29" w:rsidRDefault="00FD2729" w:rsidP="00FD2729">
      <w:pPr>
        <w:pStyle w:val="sub-subsectionheader"/>
        <w:ind w:left="426"/>
      </w:pPr>
      <w:bookmarkStart w:id="33" w:name="_Toc450900498"/>
      <w:r>
        <w:t>3.3</w:t>
      </w:r>
      <w:r w:rsidR="002D5A29" w:rsidRPr="00A1025F">
        <w:t xml:space="preserve"> </w:t>
      </w:r>
      <w:bookmarkEnd w:id="33"/>
      <w:r>
        <w:t>Potential Landslide/Geohazard Impacts on Supply Infrastructure</w:t>
      </w:r>
    </w:p>
    <w:p w14:paraId="488F7818" w14:textId="2576E490" w:rsidR="00CC5540" w:rsidRPr="00CC5540" w:rsidRDefault="00CC5540" w:rsidP="00CC5540">
      <w:pPr>
        <w:ind w:left="426"/>
        <w:jc w:val="both"/>
        <w:rPr>
          <w:rFonts w:cs="Arial"/>
          <w:szCs w:val="22"/>
        </w:rPr>
      </w:pPr>
      <w:r>
        <w:rPr>
          <w:rFonts w:cs="Arial"/>
          <w:color w:val="ED7D31" w:themeColor="accent2"/>
          <w:szCs w:val="22"/>
        </w:rPr>
        <w:t xml:space="preserve">Describe how natural events such as landslides inside or outside of the watershed(s) could impact drinking water infrastructure.   </w:t>
      </w:r>
    </w:p>
    <w:p w14:paraId="4365F827" w14:textId="77777777" w:rsidR="00FD2729" w:rsidRDefault="00FD2729" w:rsidP="00FD2729">
      <w:pPr>
        <w:pStyle w:val="sub-subsectionheader"/>
        <w:ind w:left="851"/>
      </w:pPr>
    </w:p>
    <w:p w14:paraId="5AB6EE82" w14:textId="5F6D09B6" w:rsidR="00AA6F68" w:rsidRDefault="00FD2729" w:rsidP="00FD2729">
      <w:pPr>
        <w:pStyle w:val="sub-subsectionheader"/>
        <w:ind w:left="426"/>
      </w:pPr>
      <w:r>
        <w:t>3.4</w:t>
      </w:r>
      <w:r w:rsidRPr="00A1025F">
        <w:t xml:space="preserve"> </w:t>
      </w:r>
      <w:r>
        <w:t>Potential Hazards Associated with Recreation</w:t>
      </w:r>
    </w:p>
    <w:p w14:paraId="5F0BAA0C" w14:textId="3CA253A3" w:rsidR="00CC5540" w:rsidRPr="00CC5540" w:rsidRDefault="00CC5540" w:rsidP="00CC5540">
      <w:pPr>
        <w:ind w:left="426"/>
        <w:jc w:val="both"/>
        <w:rPr>
          <w:rFonts w:cs="Arial"/>
          <w:szCs w:val="22"/>
        </w:rPr>
      </w:pPr>
      <w:r>
        <w:rPr>
          <w:rFonts w:cs="Arial"/>
          <w:color w:val="ED7D31" w:themeColor="accent2"/>
          <w:szCs w:val="22"/>
        </w:rPr>
        <w:t xml:space="preserve">Describe how recreation use in the study area can impact source water quality and quantity. </w:t>
      </w:r>
    </w:p>
    <w:p w14:paraId="751A84B9" w14:textId="77777777" w:rsidR="00FD2729" w:rsidRDefault="00FD2729" w:rsidP="00FD2729">
      <w:pPr>
        <w:pStyle w:val="sub-subsectionheader"/>
        <w:ind w:left="426"/>
      </w:pPr>
    </w:p>
    <w:p w14:paraId="418E8035" w14:textId="2C1ADB91" w:rsidR="00FD2729" w:rsidRDefault="00FD2729" w:rsidP="00FD2729">
      <w:pPr>
        <w:pStyle w:val="sub-subsectionheader"/>
        <w:ind w:left="426"/>
      </w:pPr>
      <w:r>
        <w:t>3.5 Potential Hazards Associated with Climate Change</w:t>
      </w:r>
    </w:p>
    <w:p w14:paraId="5ED56CA7" w14:textId="23523877" w:rsidR="00CC5540" w:rsidRPr="00CC5540" w:rsidRDefault="00CC5540" w:rsidP="00CC5540">
      <w:pPr>
        <w:ind w:left="426"/>
        <w:jc w:val="both"/>
        <w:rPr>
          <w:rFonts w:cs="Arial"/>
          <w:szCs w:val="22"/>
        </w:rPr>
      </w:pPr>
      <w:r>
        <w:rPr>
          <w:rFonts w:cs="Arial"/>
          <w:color w:val="ED7D31" w:themeColor="accent2"/>
          <w:szCs w:val="22"/>
        </w:rPr>
        <w:t xml:space="preserve">Describe how the potential changes in climate could impact watershed hydrology and water quality. </w:t>
      </w:r>
    </w:p>
    <w:p w14:paraId="1D660685" w14:textId="77777777" w:rsidR="00FD2729" w:rsidRDefault="00FD2729" w:rsidP="00FD2729">
      <w:pPr>
        <w:pStyle w:val="sub-subsectionheader"/>
        <w:ind w:left="426"/>
      </w:pPr>
    </w:p>
    <w:p w14:paraId="64D7F71B" w14:textId="68C9246E" w:rsidR="00FD2729" w:rsidRDefault="00FD2729" w:rsidP="00FD2729">
      <w:pPr>
        <w:pStyle w:val="sub-subsectionheader"/>
        <w:ind w:left="426"/>
      </w:pPr>
      <w:r>
        <w:t>3.6 Summary of Hazard Inventory</w:t>
      </w:r>
    </w:p>
    <w:p w14:paraId="6F95C809" w14:textId="618B5312" w:rsidR="00201D07" w:rsidRDefault="00201D07" w:rsidP="00201D07">
      <w:pPr>
        <w:ind w:left="426"/>
        <w:jc w:val="both"/>
        <w:rPr>
          <w:rFonts w:cs="Arial"/>
          <w:szCs w:val="22"/>
        </w:rPr>
      </w:pPr>
      <w:r>
        <w:rPr>
          <w:rFonts w:cs="Arial"/>
          <w:color w:val="ED7D31" w:themeColor="accent2"/>
          <w:szCs w:val="22"/>
        </w:rPr>
        <w:t xml:space="preserve">Provide a map that identifies potential contaminant sources and summarize in a hazard identification table. </w:t>
      </w:r>
    </w:p>
    <w:p w14:paraId="753643C8" w14:textId="1312BBC6" w:rsidR="00201D07" w:rsidRDefault="00201D07" w:rsidP="009F2FD6">
      <w:pPr>
        <w:pStyle w:val="sub-subsectionheader"/>
      </w:pPr>
    </w:p>
    <w:p w14:paraId="764FF633" w14:textId="63F95895" w:rsidR="00201D07" w:rsidRDefault="00201D07" w:rsidP="00201D07">
      <w:pPr>
        <w:pStyle w:val="TableHeader"/>
        <w:jc w:val="center"/>
      </w:pPr>
      <w:r>
        <w:t>Table X Hazard Identification Summary</w:t>
      </w:r>
    </w:p>
    <w:tbl>
      <w:tblPr>
        <w:tblStyle w:val="TableGrid"/>
        <w:tblW w:w="0" w:type="auto"/>
        <w:tblInd w:w="426" w:type="dxa"/>
        <w:tblLook w:val="04A0" w:firstRow="1" w:lastRow="0" w:firstColumn="1" w:lastColumn="0" w:noHBand="0" w:noVBand="1"/>
      </w:tblPr>
      <w:tblGrid>
        <w:gridCol w:w="2225"/>
        <w:gridCol w:w="2236"/>
        <w:gridCol w:w="2225"/>
        <w:gridCol w:w="2238"/>
      </w:tblGrid>
      <w:tr w:rsidR="00201D07" w14:paraId="2611E6FB" w14:textId="77777777" w:rsidTr="009F2FD6">
        <w:tc>
          <w:tcPr>
            <w:tcW w:w="2225" w:type="dxa"/>
          </w:tcPr>
          <w:p w14:paraId="5562028D" w14:textId="51558902" w:rsidR="00201D07" w:rsidRDefault="00201D07" w:rsidP="00201D07">
            <w:pPr>
              <w:pStyle w:val="sub-subsectionheader"/>
              <w:jc w:val="center"/>
            </w:pPr>
            <w:r>
              <w:t>Hazard ID#</w:t>
            </w:r>
          </w:p>
        </w:tc>
        <w:tc>
          <w:tcPr>
            <w:tcW w:w="2236" w:type="dxa"/>
          </w:tcPr>
          <w:p w14:paraId="2C08C1A7" w14:textId="3180753A" w:rsidR="00201D07" w:rsidRDefault="00201D07" w:rsidP="00201D07">
            <w:pPr>
              <w:pStyle w:val="sub-subsectionheader"/>
              <w:jc w:val="center"/>
            </w:pPr>
            <w:r>
              <w:t>Hazard to Drinking Water</w:t>
            </w:r>
          </w:p>
        </w:tc>
        <w:tc>
          <w:tcPr>
            <w:tcW w:w="2225" w:type="dxa"/>
          </w:tcPr>
          <w:p w14:paraId="66F9E2C1" w14:textId="72BDAC64" w:rsidR="00201D07" w:rsidRDefault="00201D07" w:rsidP="00201D07">
            <w:pPr>
              <w:pStyle w:val="sub-subsectionheader"/>
              <w:jc w:val="center"/>
            </w:pPr>
            <w:r>
              <w:t>Hazard Type</w:t>
            </w:r>
          </w:p>
        </w:tc>
        <w:tc>
          <w:tcPr>
            <w:tcW w:w="2238" w:type="dxa"/>
          </w:tcPr>
          <w:p w14:paraId="1B7D0412" w14:textId="6B98DD54" w:rsidR="00201D07" w:rsidRDefault="00201D07" w:rsidP="00201D07">
            <w:pPr>
              <w:pStyle w:val="sub-subsectionheader"/>
              <w:jc w:val="center"/>
            </w:pPr>
            <w:r>
              <w:t>Distance from Intake</w:t>
            </w:r>
          </w:p>
        </w:tc>
      </w:tr>
      <w:tr w:rsidR="00201D07" w14:paraId="57D0F185" w14:textId="77777777" w:rsidTr="009F2FD6">
        <w:tc>
          <w:tcPr>
            <w:tcW w:w="2225" w:type="dxa"/>
          </w:tcPr>
          <w:p w14:paraId="17D6E6C1" w14:textId="77777777" w:rsidR="00201D07" w:rsidRDefault="00201D07" w:rsidP="00FD2729">
            <w:pPr>
              <w:pStyle w:val="sub-subsectionheader"/>
            </w:pPr>
          </w:p>
        </w:tc>
        <w:tc>
          <w:tcPr>
            <w:tcW w:w="2236" w:type="dxa"/>
          </w:tcPr>
          <w:p w14:paraId="2A5F3D1A" w14:textId="77777777" w:rsidR="00201D07" w:rsidRDefault="00201D07" w:rsidP="00FD2729">
            <w:pPr>
              <w:pStyle w:val="sub-subsectionheader"/>
            </w:pPr>
          </w:p>
        </w:tc>
        <w:tc>
          <w:tcPr>
            <w:tcW w:w="2225" w:type="dxa"/>
          </w:tcPr>
          <w:p w14:paraId="22B7D0C2" w14:textId="77777777" w:rsidR="00201D07" w:rsidRDefault="00201D07" w:rsidP="00FD2729">
            <w:pPr>
              <w:pStyle w:val="sub-subsectionheader"/>
            </w:pPr>
          </w:p>
        </w:tc>
        <w:tc>
          <w:tcPr>
            <w:tcW w:w="2238" w:type="dxa"/>
          </w:tcPr>
          <w:p w14:paraId="00D072CE" w14:textId="77777777" w:rsidR="00201D07" w:rsidRDefault="00201D07" w:rsidP="00FD2729">
            <w:pPr>
              <w:pStyle w:val="sub-subsectionheader"/>
            </w:pPr>
          </w:p>
        </w:tc>
      </w:tr>
      <w:tr w:rsidR="00201D07" w14:paraId="30969790" w14:textId="77777777" w:rsidTr="009F2FD6">
        <w:tc>
          <w:tcPr>
            <w:tcW w:w="2225" w:type="dxa"/>
          </w:tcPr>
          <w:p w14:paraId="05CE6D5D" w14:textId="77777777" w:rsidR="00201D07" w:rsidRDefault="00201D07" w:rsidP="00FD2729">
            <w:pPr>
              <w:pStyle w:val="sub-subsectionheader"/>
            </w:pPr>
          </w:p>
        </w:tc>
        <w:tc>
          <w:tcPr>
            <w:tcW w:w="2236" w:type="dxa"/>
          </w:tcPr>
          <w:p w14:paraId="5B4632E5" w14:textId="77777777" w:rsidR="00201D07" w:rsidRDefault="00201D07" w:rsidP="00FD2729">
            <w:pPr>
              <w:pStyle w:val="sub-subsectionheader"/>
            </w:pPr>
          </w:p>
        </w:tc>
        <w:tc>
          <w:tcPr>
            <w:tcW w:w="2225" w:type="dxa"/>
          </w:tcPr>
          <w:p w14:paraId="2F1B582E" w14:textId="77777777" w:rsidR="00201D07" w:rsidRDefault="00201D07" w:rsidP="00FD2729">
            <w:pPr>
              <w:pStyle w:val="sub-subsectionheader"/>
            </w:pPr>
          </w:p>
        </w:tc>
        <w:tc>
          <w:tcPr>
            <w:tcW w:w="2238" w:type="dxa"/>
          </w:tcPr>
          <w:p w14:paraId="4712A025" w14:textId="77777777" w:rsidR="00201D07" w:rsidRDefault="00201D07" w:rsidP="00FD2729">
            <w:pPr>
              <w:pStyle w:val="sub-subsectionheader"/>
            </w:pPr>
          </w:p>
        </w:tc>
      </w:tr>
      <w:tr w:rsidR="00201D07" w14:paraId="42FDFDD5" w14:textId="77777777" w:rsidTr="009F2FD6">
        <w:tc>
          <w:tcPr>
            <w:tcW w:w="2225" w:type="dxa"/>
          </w:tcPr>
          <w:p w14:paraId="1C414D46" w14:textId="77777777" w:rsidR="00201D07" w:rsidRDefault="00201D07" w:rsidP="00FD2729">
            <w:pPr>
              <w:pStyle w:val="sub-subsectionheader"/>
            </w:pPr>
          </w:p>
        </w:tc>
        <w:tc>
          <w:tcPr>
            <w:tcW w:w="2236" w:type="dxa"/>
          </w:tcPr>
          <w:p w14:paraId="103E47BB" w14:textId="77777777" w:rsidR="00201D07" w:rsidRDefault="00201D07" w:rsidP="00FD2729">
            <w:pPr>
              <w:pStyle w:val="sub-subsectionheader"/>
            </w:pPr>
          </w:p>
        </w:tc>
        <w:tc>
          <w:tcPr>
            <w:tcW w:w="2225" w:type="dxa"/>
          </w:tcPr>
          <w:p w14:paraId="4052877B" w14:textId="77777777" w:rsidR="00201D07" w:rsidRDefault="00201D07" w:rsidP="00FD2729">
            <w:pPr>
              <w:pStyle w:val="sub-subsectionheader"/>
            </w:pPr>
          </w:p>
        </w:tc>
        <w:tc>
          <w:tcPr>
            <w:tcW w:w="2238" w:type="dxa"/>
          </w:tcPr>
          <w:p w14:paraId="39245C84" w14:textId="77777777" w:rsidR="00201D07" w:rsidRDefault="00201D07" w:rsidP="00FD2729">
            <w:pPr>
              <w:pStyle w:val="sub-subsectionheader"/>
            </w:pPr>
          </w:p>
        </w:tc>
      </w:tr>
    </w:tbl>
    <w:p w14:paraId="79948F9C" w14:textId="77777777" w:rsidR="00201D07" w:rsidRDefault="00201D07" w:rsidP="00FD2729">
      <w:pPr>
        <w:pStyle w:val="sub-subsectionheader"/>
        <w:ind w:left="426"/>
      </w:pPr>
    </w:p>
    <w:p w14:paraId="1ECBEC52" w14:textId="348DAFDA" w:rsidR="009D5DFB" w:rsidRDefault="009D5DFB" w:rsidP="005824EE">
      <w:pPr>
        <w:rPr>
          <w:rFonts w:ascii="Arial Bold" w:hAnsi="Arial Bold" w:cs="Arial"/>
          <w:b/>
          <w:szCs w:val="22"/>
        </w:rPr>
      </w:pPr>
    </w:p>
    <w:p w14:paraId="1035DAFC" w14:textId="6BA729F1" w:rsidR="00623EC8" w:rsidRPr="004B2CF9" w:rsidRDefault="00623EC8" w:rsidP="00BB4185">
      <w:pPr>
        <w:pStyle w:val="SectionHeader"/>
        <w:ind w:left="0"/>
      </w:pPr>
      <w:bookmarkStart w:id="34" w:name="_Toc450900500"/>
      <w:r w:rsidRPr="004B2CF9">
        <w:t>4.0 Risk Characterization and Analysis</w:t>
      </w:r>
      <w:bookmarkEnd w:id="34"/>
      <w:r w:rsidR="005B00E1">
        <w:t xml:space="preserve"> (Module 7)</w:t>
      </w:r>
    </w:p>
    <w:p w14:paraId="7D1EBD2D" w14:textId="1B1F21B5" w:rsidR="00623EC8" w:rsidRDefault="00CC5540" w:rsidP="0071194C">
      <w:pPr>
        <w:jc w:val="both"/>
        <w:rPr>
          <w:rFonts w:cs="Arial"/>
          <w:szCs w:val="22"/>
        </w:rPr>
      </w:pPr>
      <w:r>
        <w:rPr>
          <w:rFonts w:cs="Arial"/>
          <w:color w:val="ED7D31" w:themeColor="accent2"/>
          <w:szCs w:val="22"/>
        </w:rPr>
        <w:t xml:space="preserve">The intent of Module 7 is to consider the hazards to drinking water quality and quantity in Modules 1 and 2, along with the consequence to drinking water should a contaminant or combination of contaminants reach the intake. </w:t>
      </w:r>
    </w:p>
    <w:p w14:paraId="0B017BC5" w14:textId="77777777" w:rsidR="00DE2B45" w:rsidRDefault="00DE2B45" w:rsidP="0071194C">
      <w:pPr>
        <w:jc w:val="both"/>
        <w:rPr>
          <w:rFonts w:cs="Arial"/>
          <w:szCs w:val="22"/>
        </w:rPr>
      </w:pPr>
    </w:p>
    <w:p w14:paraId="1F998357" w14:textId="08DE5544" w:rsidR="009D3F89" w:rsidRDefault="00CC5540" w:rsidP="00BB4185">
      <w:pPr>
        <w:pStyle w:val="sub-subsectionheader"/>
        <w:ind w:left="426"/>
      </w:pPr>
      <w:bookmarkStart w:id="35" w:name="_Toc450900502"/>
      <w:r>
        <w:t>4.1</w:t>
      </w:r>
      <w:r w:rsidR="009D3F89" w:rsidRPr="00152978">
        <w:t xml:space="preserve"> </w:t>
      </w:r>
      <w:bookmarkEnd w:id="35"/>
      <w:r w:rsidR="00BB4185">
        <w:t>Evaluation of Source Protection Barriers</w:t>
      </w:r>
    </w:p>
    <w:p w14:paraId="27B029BA" w14:textId="36E27CD2" w:rsidR="00CC5540" w:rsidRDefault="004E0F97" w:rsidP="00CC5540">
      <w:pPr>
        <w:ind w:left="426"/>
        <w:jc w:val="both"/>
        <w:rPr>
          <w:rFonts w:cs="Arial"/>
          <w:szCs w:val="22"/>
        </w:rPr>
      </w:pPr>
      <w:r>
        <w:rPr>
          <w:rFonts w:cs="Arial"/>
          <w:color w:val="ED7D31" w:themeColor="accent2"/>
          <w:szCs w:val="22"/>
        </w:rPr>
        <w:t xml:space="preserve">Review and evaluate the barriers currently in place. </w:t>
      </w:r>
    </w:p>
    <w:p w14:paraId="586CB966" w14:textId="3862F56F" w:rsidR="00CC5540" w:rsidRPr="0034272E" w:rsidRDefault="00CC5540" w:rsidP="00BB4185">
      <w:pPr>
        <w:pStyle w:val="NoSpacing"/>
      </w:pPr>
    </w:p>
    <w:p w14:paraId="0E45D884" w14:textId="0DC144B5" w:rsidR="009D3F89" w:rsidRDefault="004E0F97" w:rsidP="00BB4185">
      <w:pPr>
        <w:pStyle w:val="sub-subsectionheader"/>
        <w:ind w:left="426"/>
      </w:pPr>
      <w:bookmarkStart w:id="36" w:name="_Toc450900503"/>
      <w:r>
        <w:t>4.2</w:t>
      </w:r>
      <w:r w:rsidR="009D3F89" w:rsidRPr="00152978">
        <w:t xml:space="preserve"> </w:t>
      </w:r>
      <w:bookmarkEnd w:id="36"/>
      <w:r w:rsidR="00BB4185">
        <w:t>Consequences to Source Water Quality and Quantity</w:t>
      </w:r>
    </w:p>
    <w:p w14:paraId="0DDB25C4" w14:textId="5C3EB19F" w:rsidR="00BB4185" w:rsidRDefault="00BB4185" w:rsidP="00BB4185">
      <w:pPr>
        <w:pStyle w:val="sub-subsectionheader"/>
        <w:ind w:left="851"/>
        <w:rPr>
          <w:b w:val="0"/>
        </w:rPr>
      </w:pPr>
      <w:r w:rsidRPr="00BB4185">
        <w:rPr>
          <w:b w:val="0"/>
        </w:rPr>
        <w:lastRenderedPageBreak/>
        <w:t>4.</w:t>
      </w:r>
      <w:r w:rsidR="004E0F97">
        <w:rPr>
          <w:b w:val="0"/>
        </w:rPr>
        <w:t>2</w:t>
      </w:r>
      <w:r w:rsidRPr="00BB4185">
        <w:rPr>
          <w:b w:val="0"/>
        </w:rPr>
        <w:t>.1 Consequences of Physical Contamination</w:t>
      </w:r>
    </w:p>
    <w:p w14:paraId="2F160B97" w14:textId="3F9C9D07" w:rsidR="004E0F97" w:rsidRDefault="004E0F97" w:rsidP="004E0F97">
      <w:pPr>
        <w:ind w:left="851"/>
        <w:jc w:val="both"/>
        <w:rPr>
          <w:rFonts w:cs="Arial"/>
          <w:szCs w:val="22"/>
        </w:rPr>
      </w:pPr>
      <w:r>
        <w:rPr>
          <w:rFonts w:cs="Arial"/>
          <w:color w:val="ED7D31" w:themeColor="accent2"/>
          <w:szCs w:val="22"/>
        </w:rPr>
        <w:t xml:space="preserve">Describe and rank the consequences related to physical contamination (sediment loads and turbidity) from mass wasting events, wildfire, recreation, and forest development. </w:t>
      </w:r>
    </w:p>
    <w:p w14:paraId="6C310191" w14:textId="77777777" w:rsidR="004E0F97" w:rsidRPr="00BB4185" w:rsidRDefault="004E0F97" w:rsidP="00BB4185">
      <w:pPr>
        <w:pStyle w:val="sub-subsectionheader"/>
        <w:ind w:left="851"/>
        <w:rPr>
          <w:b w:val="0"/>
        </w:rPr>
      </w:pPr>
    </w:p>
    <w:p w14:paraId="7D5A28F1" w14:textId="1D0892EF" w:rsidR="00BB4185" w:rsidRDefault="00BB4185" w:rsidP="00BB4185">
      <w:pPr>
        <w:pStyle w:val="sub-subsectionheader"/>
        <w:ind w:left="851"/>
        <w:rPr>
          <w:b w:val="0"/>
        </w:rPr>
      </w:pPr>
      <w:bookmarkStart w:id="37" w:name="_Toc450900506"/>
      <w:r w:rsidRPr="00BB4185">
        <w:rPr>
          <w:b w:val="0"/>
        </w:rPr>
        <w:t>4.</w:t>
      </w:r>
      <w:r w:rsidR="004E0F97">
        <w:rPr>
          <w:b w:val="0"/>
        </w:rPr>
        <w:t>2</w:t>
      </w:r>
      <w:r w:rsidRPr="00BB4185">
        <w:rPr>
          <w:b w:val="0"/>
        </w:rPr>
        <w:t xml:space="preserve">.2 </w:t>
      </w:r>
      <w:bookmarkEnd w:id="37"/>
      <w:r w:rsidRPr="00BB4185">
        <w:rPr>
          <w:b w:val="0"/>
        </w:rPr>
        <w:t>Consequences of Biological Contamination</w:t>
      </w:r>
    </w:p>
    <w:p w14:paraId="260CA0AC" w14:textId="77777777" w:rsidR="001D6EAF" w:rsidRDefault="004E0F97" w:rsidP="004E0F97">
      <w:pPr>
        <w:ind w:left="851"/>
        <w:jc w:val="both"/>
        <w:rPr>
          <w:rFonts w:cs="Arial"/>
          <w:color w:val="ED7D31" w:themeColor="accent2"/>
          <w:szCs w:val="22"/>
        </w:rPr>
      </w:pPr>
      <w:r>
        <w:rPr>
          <w:rFonts w:cs="Arial"/>
          <w:color w:val="ED7D31" w:themeColor="accent2"/>
          <w:szCs w:val="22"/>
        </w:rPr>
        <w:t xml:space="preserve">Describe and rank the consequences related to biological contaminants such as fecal coliforms, E. coli and other pathogens. </w:t>
      </w:r>
    </w:p>
    <w:p w14:paraId="40FF61AA" w14:textId="4D7CBDB3" w:rsidR="003B60CB" w:rsidRDefault="003B60CB" w:rsidP="004E0F97">
      <w:pPr>
        <w:ind w:left="851"/>
        <w:jc w:val="both"/>
        <w:rPr>
          <w:rFonts w:cs="Arial"/>
          <w:color w:val="ED7D31" w:themeColor="accent2"/>
          <w:szCs w:val="22"/>
        </w:rPr>
      </w:pPr>
    </w:p>
    <w:p w14:paraId="18B21986" w14:textId="021E1875" w:rsidR="00BB4185" w:rsidRDefault="00BB4185" w:rsidP="00BB4185">
      <w:pPr>
        <w:pStyle w:val="sub-subsectionheader"/>
        <w:ind w:left="851"/>
        <w:rPr>
          <w:b w:val="0"/>
        </w:rPr>
      </w:pPr>
      <w:bookmarkStart w:id="38" w:name="_Toc450900507"/>
      <w:r w:rsidRPr="00BB4185">
        <w:rPr>
          <w:b w:val="0"/>
        </w:rPr>
        <w:t>4.</w:t>
      </w:r>
      <w:r w:rsidR="004E0F97">
        <w:rPr>
          <w:b w:val="0"/>
        </w:rPr>
        <w:t>2</w:t>
      </w:r>
      <w:r w:rsidRPr="00BB4185">
        <w:rPr>
          <w:b w:val="0"/>
        </w:rPr>
        <w:t xml:space="preserve">.3 </w:t>
      </w:r>
      <w:bookmarkEnd w:id="38"/>
      <w:r w:rsidRPr="00BB4185">
        <w:rPr>
          <w:b w:val="0"/>
        </w:rPr>
        <w:t>Consequences of Chemical Contamination</w:t>
      </w:r>
    </w:p>
    <w:p w14:paraId="579CE00C" w14:textId="0A025D55" w:rsidR="004E0F97" w:rsidRPr="0036276F" w:rsidRDefault="004E0F97" w:rsidP="0036276F">
      <w:pPr>
        <w:ind w:left="851"/>
        <w:jc w:val="both"/>
        <w:rPr>
          <w:rFonts w:cs="Arial"/>
          <w:szCs w:val="22"/>
        </w:rPr>
      </w:pPr>
      <w:r>
        <w:rPr>
          <w:rFonts w:cs="Arial"/>
          <w:color w:val="ED7D31" w:themeColor="accent2"/>
          <w:szCs w:val="22"/>
        </w:rPr>
        <w:t xml:space="preserve">Describe and rank the consequences related to </w:t>
      </w:r>
      <w:r w:rsidR="0036276F">
        <w:rPr>
          <w:rFonts w:cs="Arial"/>
          <w:color w:val="ED7D31" w:themeColor="accent2"/>
          <w:szCs w:val="22"/>
        </w:rPr>
        <w:t xml:space="preserve">contaminants such as petroleum products, fire suppressant application, and other chemical contaminants. </w:t>
      </w:r>
    </w:p>
    <w:p w14:paraId="65ABFE43" w14:textId="77777777" w:rsidR="000B7996" w:rsidRPr="00BB4185" w:rsidRDefault="000B7996" w:rsidP="00BB4185">
      <w:pPr>
        <w:pStyle w:val="NoSpacing"/>
      </w:pPr>
    </w:p>
    <w:p w14:paraId="3AB169CC" w14:textId="6223505A" w:rsidR="00BB4185" w:rsidRDefault="00BB4185" w:rsidP="00BB4185">
      <w:pPr>
        <w:pStyle w:val="sub-subsectionheader"/>
        <w:ind w:left="426"/>
      </w:pPr>
      <w:bookmarkStart w:id="39" w:name="_Toc450900505"/>
      <w:r>
        <w:t>4.</w:t>
      </w:r>
      <w:r w:rsidR="004E0F97">
        <w:t>3</w:t>
      </w:r>
      <w:r w:rsidRPr="00152978">
        <w:t xml:space="preserve"> </w:t>
      </w:r>
      <w:r>
        <w:t>Likelihood Assessment for Hazards to Source Water Quality and Quantity</w:t>
      </w:r>
    </w:p>
    <w:p w14:paraId="7FCE8600" w14:textId="4985C6CE" w:rsidR="0036276F" w:rsidRDefault="0036276F" w:rsidP="006F18C2">
      <w:pPr>
        <w:pStyle w:val="NoSpacing"/>
        <w:ind w:left="426"/>
      </w:pPr>
      <w:r w:rsidRPr="006F18C2">
        <w:rPr>
          <w:color w:val="ED7D31" w:themeColor="accent2"/>
        </w:rPr>
        <w:t xml:space="preserve">Complete a qualitative risk assessment for the hazards identify </w:t>
      </w:r>
      <w:r w:rsidR="006F18C2" w:rsidRPr="006F18C2">
        <w:rPr>
          <w:color w:val="ED7D31" w:themeColor="accent2"/>
        </w:rPr>
        <w:t>and describe the likelihood as u</w:t>
      </w:r>
      <w:r w:rsidRPr="006F18C2">
        <w:rPr>
          <w:color w:val="ED7D31" w:themeColor="accent2"/>
        </w:rPr>
        <w:t xml:space="preserve">nlikely, rare, possible, </w:t>
      </w:r>
      <w:r w:rsidR="006F18C2" w:rsidRPr="006F18C2">
        <w:rPr>
          <w:color w:val="ED7D31" w:themeColor="accent2"/>
        </w:rPr>
        <w:t xml:space="preserve">or </w:t>
      </w:r>
      <w:r w:rsidRPr="006F18C2">
        <w:rPr>
          <w:color w:val="ED7D31" w:themeColor="accent2"/>
        </w:rPr>
        <w:t>likely</w:t>
      </w:r>
      <w:r w:rsidR="006F18C2">
        <w:t>.</w:t>
      </w:r>
    </w:p>
    <w:p w14:paraId="64ADA3D2" w14:textId="77777777" w:rsidR="0036276F" w:rsidRDefault="0036276F" w:rsidP="00BB4185">
      <w:pPr>
        <w:pStyle w:val="sub-subsectionheader"/>
        <w:ind w:left="426"/>
      </w:pPr>
    </w:p>
    <w:p w14:paraId="16D2FB01" w14:textId="7C4466FC" w:rsidR="00BB4185" w:rsidRDefault="00BB4185" w:rsidP="00BB4185">
      <w:pPr>
        <w:pStyle w:val="sub-subsectionheader"/>
        <w:ind w:left="851"/>
        <w:rPr>
          <w:b w:val="0"/>
        </w:rPr>
      </w:pPr>
      <w:r w:rsidRPr="00BB4185">
        <w:rPr>
          <w:b w:val="0"/>
        </w:rPr>
        <w:t xml:space="preserve">4.3.1 </w:t>
      </w:r>
      <w:r>
        <w:rPr>
          <w:b w:val="0"/>
        </w:rPr>
        <w:t>Likelihood</w:t>
      </w:r>
      <w:r w:rsidRPr="00BB4185">
        <w:rPr>
          <w:b w:val="0"/>
        </w:rPr>
        <w:t xml:space="preserve"> of Physical Contamination</w:t>
      </w:r>
    </w:p>
    <w:p w14:paraId="3199D865" w14:textId="22683B42" w:rsidR="0036276F" w:rsidRPr="0036276F" w:rsidRDefault="0036276F" w:rsidP="0036276F">
      <w:pPr>
        <w:ind w:left="851"/>
        <w:jc w:val="both"/>
        <w:rPr>
          <w:rFonts w:cs="Arial"/>
          <w:szCs w:val="22"/>
        </w:rPr>
      </w:pPr>
      <w:r>
        <w:rPr>
          <w:rFonts w:cs="Arial"/>
          <w:color w:val="ED7D31" w:themeColor="accent2"/>
          <w:szCs w:val="22"/>
        </w:rPr>
        <w:t xml:space="preserve">Describe the likelihood of physical contamination from sediment and turbidity, increased peak flows, wildfire, and other risks.  </w:t>
      </w:r>
    </w:p>
    <w:p w14:paraId="672FD8B7" w14:textId="77777777" w:rsidR="0036276F" w:rsidRPr="00BB4185" w:rsidRDefault="0036276F" w:rsidP="00BB4185">
      <w:pPr>
        <w:pStyle w:val="sub-subsectionheader"/>
        <w:ind w:left="851"/>
        <w:rPr>
          <w:b w:val="0"/>
        </w:rPr>
      </w:pPr>
    </w:p>
    <w:p w14:paraId="36F42550" w14:textId="4C8F1A5E" w:rsidR="00BB4185" w:rsidRDefault="00BB4185" w:rsidP="00BB4185">
      <w:pPr>
        <w:pStyle w:val="sub-subsectionheader"/>
        <w:ind w:left="851"/>
        <w:rPr>
          <w:b w:val="0"/>
        </w:rPr>
      </w:pPr>
      <w:r w:rsidRPr="00BB4185">
        <w:rPr>
          <w:b w:val="0"/>
        </w:rPr>
        <w:t xml:space="preserve">4.3.2 </w:t>
      </w:r>
      <w:r>
        <w:rPr>
          <w:b w:val="0"/>
        </w:rPr>
        <w:t>Likelihood</w:t>
      </w:r>
      <w:r w:rsidRPr="00BB4185">
        <w:rPr>
          <w:b w:val="0"/>
        </w:rPr>
        <w:t xml:space="preserve"> of Biological Contamination</w:t>
      </w:r>
    </w:p>
    <w:p w14:paraId="1D4D89B6" w14:textId="72487E54" w:rsidR="0036276F" w:rsidRPr="0036276F" w:rsidRDefault="0036276F" w:rsidP="0036276F">
      <w:pPr>
        <w:ind w:left="851"/>
        <w:jc w:val="both"/>
        <w:rPr>
          <w:rFonts w:cs="Arial"/>
          <w:szCs w:val="22"/>
        </w:rPr>
      </w:pPr>
      <w:r>
        <w:rPr>
          <w:rFonts w:cs="Arial"/>
          <w:color w:val="ED7D31" w:themeColor="accent2"/>
          <w:szCs w:val="22"/>
        </w:rPr>
        <w:t xml:space="preserve">Describe the likelihood of biological contamination from sediment and turbidity, increased peak flows, wildfire, and other risks.  </w:t>
      </w:r>
    </w:p>
    <w:p w14:paraId="28F36A9B" w14:textId="77777777" w:rsidR="0036276F" w:rsidRPr="00BB4185" w:rsidRDefault="0036276F" w:rsidP="00BB4185">
      <w:pPr>
        <w:pStyle w:val="sub-subsectionheader"/>
        <w:ind w:left="851"/>
        <w:rPr>
          <w:b w:val="0"/>
        </w:rPr>
      </w:pPr>
    </w:p>
    <w:p w14:paraId="4F4840A2" w14:textId="1955EC92" w:rsidR="00BB4185" w:rsidRDefault="00BB4185" w:rsidP="00BB4185">
      <w:pPr>
        <w:pStyle w:val="sub-subsectionheader"/>
        <w:ind w:left="851"/>
        <w:rPr>
          <w:b w:val="0"/>
        </w:rPr>
      </w:pPr>
      <w:r w:rsidRPr="00BB4185">
        <w:rPr>
          <w:b w:val="0"/>
        </w:rPr>
        <w:t xml:space="preserve">4.3.3 </w:t>
      </w:r>
      <w:r>
        <w:rPr>
          <w:b w:val="0"/>
        </w:rPr>
        <w:t>Likelihood</w:t>
      </w:r>
      <w:r w:rsidRPr="00BB4185">
        <w:rPr>
          <w:b w:val="0"/>
        </w:rPr>
        <w:t xml:space="preserve"> of Chemical Contamination</w:t>
      </w:r>
    </w:p>
    <w:p w14:paraId="1061529E" w14:textId="28887831" w:rsidR="006F18C2" w:rsidRPr="006F18C2" w:rsidRDefault="006F18C2" w:rsidP="006F18C2">
      <w:pPr>
        <w:ind w:left="851"/>
        <w:jc w:val="both"/>
        <w:rPr>
          <w:rFonts w:cs="Arial"/>
          <w:szCs w:val="22"/>
        </w:rPr>
      </w:pPr>
      <w:r>
        <w:rPr>
          <w:rFonts w:cs="Arial"/>
          <w:color w:val="ED7D31" w:themeColor="accent2"/>
          <w:szCs w:val="22"/>
        </w:rPr>
        <w:t xml:space="preserve">Describe the likelihood of chemical contamination from petroleum products, fire suppressants, and other chemical contaminants.  </w:t>
      </w:r>
    </w:p>
    <w:bookmarkEnd w:id="39"/>
    <w:p w14:paraId="0495D257" w14:textId="77777777" w:rsidR="002D395C" w:rsidRDefault="002D395C" w:rsidP="00BB4185">
      <w:pPr>
        <w:pStyle w:val="NoSpacing"/>
      </w:pPr>
    </w:p>
    <w:p w14:paraId="7CD39D1C" w14:textId="3DD891ED" w:rsidR="00635D7B" w:rsidRDefault="009D3F89" w:rsidP="00BB4185">
      <w:pPr>
        <w:pStyle w:val="sub-subsectionheader"/>
        <w:ind w:left="426"/>
      </w:pPr>
      <w:bookmarkStart w:id="40" w:name="_Toc450900508"/>
      <w:r>
        <w:t>4.</w:t>
      </w:r>
      <w:bookmarkEnd w:id="40"/>
      <w:r w:rsidR="004E0F97">
        <w:t xml:space="preserve">4 </w:t>
      </w:r>
      <w:r w:rsidR="00BB4185">
        <w:t>Summary of Risks to Drinking Water Quality and Quantity</w:t>
      </w:r>
    </w:p>
    <w:p w14:paraId="2E43020A" w14:textId="246EEA04" w:rsidR="005824EE" w:rsidRPr="006F18C2" w:rsidRDefault="005824EE" w:rsidP="005824EE">
      <w:pPr>
        <w:ind w:left="426"/>
        <w:jc w:val="both"/>
        <w:rPr>
          <w:rFonts w:cs="Arial"/>
          <w:szCs w:val="22"/>
        </w:rPr>
      </w:pPr>
      <w:r>
        <w:rPr>
          <w:rFonts w:cs="Arial"/>
          <w:color w:val="ED7D31" w:themeColor="accent2"/>
          <w:szCs w:val="22"/>
        </w:rPr>
        <w:t xml:space="preserve">Provide a summary of the physical, chemical, and biological risks in table and map format. </w:t>
      </w:r>
    </w:p>
    <w:p w14:paraId="62FE8D4D" w14:textId="4E146362" w:rsidR="009917DB" w:rsidRDefault="009917DB" w:rsidP="00B05722"/>
    <w:p w14:paraId="33681394" w14:textId="5D3D5C41" w:rsidR="009917DB" w:rsidRDefault="009917DB" w:rsidP="00007628">
      <w:pPr>
        <w:pStyle w:val="TableHeader"/>
        <w:jc w:val="center"/>
      </w:pPr>
      <w:r>
        <w:t>Table X. Summary of potential drinking water risks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917DB" w:rsidRPr="009917DB" w14:paraId="64C8F9CC" w14:textId="77777777" w:rsidTr="009917DB">
        <w:tc>
          <w:tcPr>
            <w:tcW w:w="1558" w:type="dxa"/>
          </w:tcPr>
          <w:p w14:paraId="63F34FB4" w14:textId="02CF9BAF" w:rsidR="009917DB" w:rsidRPr="009917DB" w:rsidRDefault="009917DB" w:rsidP="00B05722">
            <w:pPr>
              <w:rPr>
                <w:b/>
              </w:rPr>
            </w:pPr>
            <w:r w:rsidRPr="009917DB">
              <w:rPr>
                <w:b/>
              </w:rPr>
              <w:t>Hazard ID#</w:t>
            </w:r>
          </w:p>
        </w:tc>
        <w:tc>
          <w:tcPr>
            <w:tcW w:w="1558" w:type="dxa"/>
          </w:tcPr>
          <w:p w14:paraId="08459452" w14:textId="50DC7B9E" w:rsidR="009917DB" w:rsidRPr="009917DB" w:rsidRDefault="009917DB" w:rsidP="00B05722">
            <w:pPr>
              <w:rPr>
                <w:b/>
              </w:rPr>
            </w:pPr>
            <w:r w:rsidRPr="009917DB">
              <w:rPr>
                <w:b/>
              </w:rPr>
              <w:t>Hazard to drinking water</w:t>
            </w:r>
          </w:p>
        </w:tc>
        <w:tc>
          <w:tcPr>
            <w:tcW w:w="1558" w:type="dxa"/>
          </w:tcPr>
          <w:p w14:paraId="7057BECA" w14:textId="1F09F42E" w:rsidR="009917DB" w:rsidRPr="009917DB" w:rsidRDefault="009917DB" w:rsidP="00B05722">
            <w:pPr>
              <w:rPr>
                <w:b/>
              </w:rPr>
            </w:pPr>
            <w:r w:rsidRPr="009917DB">
              <w:rPr>
                <w:b/>
              </w:rPr>
              <w:t>Hazard type</w:t>
            </w:r>
          </w:p>
        </w:tc>
        <w:tc>
          <w:tcPr>
            <w:tcW w:w="1558" w:type="dxa"/>
          </w:tcPr>
          <w:p w14:paraId="713F43A4" w14:textId="091C2DBE" w:rsidR="009917DB" w:rsidRPr="009917DB" w:rsidRDefault="009917DB" w:rsidP="00B05722">
            <w:pPr>
              <w:rPr>
                <w:b/>
              </w:rPr>
            </w:pPr>
            <w:r w:rsidRPr="009917DB">
              <w:rPr>
                <w:b/>
              </w:rPr>
              <w:t>Consequence level</w:t>
            </w:r>
          </w:p>
        </w:tc>
        <w:tc>
          <w:tcPr>
            <w:tcW w:w="1559" w:type="dxa"/>
          </w:tcPr>
          <w:p w14:paraId="2312D8F3" w14:textId="7817E5F1" w:rsidR="009917DB" w:rsidRPr="009917DB" w:rsidRDefault="009917DB" w:rsidP="00B05722">
            <w:pPr>
              <w:rPr>
                <w:b/>
              </w:rPr>
            </w:pPr>
            <w:r w:rsidRPr="009917DB">
              <w:rPr>
                <w:b/>
              </w:rPr>
              <w:t>Likelihood</w:t>
            </w:r>
          </w:p>
        </w:tc>
        <w:tc>
          <w:tcPr>
            <w:tcW w:w="1559" w:type="dxa"/>
          </w:tcPr>
          <w:p w14:paraId="2519AB2F" w14:textId="614D1475" w:rsidR="009917DB" w:rsidRPr="009917DB" w:rsidRDefault="009917DB" w:rsidP="00B05722">
            <w:pPr>
              <w:rPr>
                <w:b/>
              </w:rPr>
            </w:pPr>
            <w:r w:rsidRPr="009917DB">
              <w:rPr>
                <w:b/>
              </w:rPr>
              <w:t>Risk</w:t>
            </w:r>
          </w:p>
        </w:tc>
      </w:tr>
      <w:tr w:rsidR="009917DB" w14:paraId="7F09CBE0" w14:textId="77777777" w:rsidTr="009917DB">
        <w:tc>
          <w:tcPr>
            <w:tcW w:w="1558" w:type="dxa"/>
          </w:tcPr>
          <w:p w14:paraId="4C0886D2" w14:textId="77777777" w:rsidR="009917DB" w:rsidRDefault="009917DB" w:rsidP="00B05722"/>
        </w:tc>
        <w:tc>
          <w:tcPr>
            <w:tcW w:w="1558" w:type="dxa"/>
          </w:tcPr>
          <w:p w14:paraId="7E28F26A" w14:textId="77777777" w:rsidR="009917DB" w:rsidRDefault="009917DB" w:rsidP="00B05722"/>
        </w:tc>
        <w:tc>
          <w:tcPr>
            <w:tcW w:w="1558" w:type="dxa"/>
          </w:tcPr>
          <w:p w14:paraId="03E8BB55" w14:textId="77777777" w:rsidR="009917DB" w:rsidRDefault="009917DB" w:rsidP="00B05722"/>
        </w:tc>
        <w:tc>
          <w:tcPr>
            <w:tcW w:w="1558" w:type="dxa"/>
          </w:tcPr>
          <w:p w14:paraId="126751DF" w14:textId="77777777" w:rsidR="009917DB" w:rsidRDefault="009917DB" w:rsidP="00B05722"/>
        </w:tc>
        <w:tc>
          <w:tcPr>
            <w:tcW w:w="1559" w:type="dxa"/>
          </w:tcPr>
          <w:p w14:paraId="20BC8F03" w14:textId="77777777" w:rsidR="009917DB" w:rsidRDefault="009917DB" w:rsidP="00B05722"/>
        </w:tc>
        <w:tc>
          <w:tcPr>
            <w:tcW w:w="1559" w:type="dxa"/>
          </w:tcPr>
          <w:p w14:paraId="7CC72600" w14:textId="77777777" w:rsidR="009917DB" w:rsidRDefault="009917DB" w:rsidP="00B05722"/>
        </w:tc>
      </w:tr>
      <w:tr w:rsidR="009F2FD6" w14:paraId="49B07F5C" w14:textId="77777777" w:rsidTr="009917DB">
        <w:tc>
          <w:tcPr>
            <w:tcW w:w="1558" w:type="dxa"/>
          </w:tcPr>
          <w:p w14:paraId="36757E35" w14:textId="77777777" w:rsidR="009F2FD6" w:rsidRDefault="009F2FD6" w:rsidP="00B05722"/>
        </w:tc>
        <w:tc>
          <w:tcPr>
            <w:tcW w:w="1558" w:type="dxa"/>
          </w:tcPr>
          <w:p w14:paraId="547794FD" w14:textId="77777777" w:rsidR="009F2FD6" w:rsidRDefault="009F2FD6" w:rsidP="00B05722"/>
        </w:tc>
        <w:tc>
          <w:tcPr>
            <w:tcW w:w="1558" w:type="dxa"/>
          </w:tcPr>
          <w:p w14:paraId="0A9B90AB" w14:textId="77777777" w:rsidR="009F2FD6" w:rsidRDefault="009F2FD6" w:rsidP="00B05722"/>
        </w:tc>
        <w:tc>
          <w:tcPr>
            <w:tcW w:w="1558" w:type="dxa"/>
          </w:tcPr>
          <w:p w14:paraId="0D09B309" w14:textId="77777777" w:rsidR="009F2FD6" w:rsidRDefault="009F2FD6" w:rsidP="00B05722"/>
        </w:tc>
        <w:tc>
          <w:tcPr>
            <w:tcW w:w="1559" w:type="dxa"/>
          </w:tcPr>
          <w:p w14:paraId="48261B9D" w14:textId="77777777" w:rsidR="009F2FD6" w:rsidRDefault="009F2FD6" w:rsidP="00B05722"/>
        </w:tc>
        <w:tc>
          <w:tcPr>
            <w:tcW w:w="1559" w:type="dxa"/>
          </w:tcPr>
          <w:p w14:paraId="78FE2A7A" w14:textId="77777777" w:rsidR="009F2FD6" w:rsidRDefault="009F2FD6" w:rsidP="00B05722"/>
        </w:tc>
      </w:tr>
      <w:tr w:rsidR="009917DB" w14:paraId="528EA96C" w14:textId="77777777" w:rsidTr="009917DB">
        <w:tc>
          <w:tcPr>
            <w:tcW w:w="1558" w:type="dxa"/>
          </w:tcPr>
          <w:p w14:paraId="005E84FD" w14:textId="77777777" w:rsidR="009917DB" w:rsidRDefault="009917DB" w:rsidP="00B05722"/>
        </w:tc>
        <w:tc>
          <w:tcPr>
            <w:tcW w:w="1558" w:type="dxa"/>
          </w:tcPr>
          <w:p w14:paraId="45207BF5" w14:textId="77777777" w:rsidR="009917DB" w:rsidRDefault="009917DB" w:rsidP="00B05722"/>
        </w:tc>
        <w:tc>
          <w:tcPr>
            <w:tcW w:w="1558" w:type="dxa"/>
          </w:tcPr>
          <w:p w14:paraId="0A4039A1" w14:textId="77777777" w:rsidR="009917DB" w:rsidRDefault="009917DB" w:rsidP="00B05722"/>
        </w:tc>
        <w:tc>
          <w:tcPr>
            <w:tcW w:w="1558" w:type="dxa"/>
          </w:tcPr>
          <w:p w14:paraId="5CEF8C42" w14:textId="77777777" w:rsidR="009917DB" w:rsidRDefault="009917DB" w:rsidP="00B05722"/>
        </w:tc>
        <w:tc>
          <w:tcPr>
            <w:tcW w:w="1559" w:type="dxa"/>
          </w:tcPr>
          <w:p w14:paraId="6CE4B7B6" w14:textId="77777777" w:rsidR="009917DB" w:rsidRDefault="009917DB" w:rsidP="00B05722"/>
        </w:tc>
        <w:tc>
          <w:tcPr>
            <w:tcW w:w="1559" w:type="dxa"/>
          </w:tcPr>
          <w:p w14:paraId="1D68A500" w14:textId="77777777" w:rsidR="009917DB" w:rsidRDefault="009917DB" w:rsidP="00B05722"/>
        </w:tc>
      </w:tr>
    </w:tbl>
    <w:p w14:paraId="0E747DD2" w14:textId="6C2DCFE7" w:rsidR="006F18C2" w:rsidRDefault="006F18C2" w:rsidP="00B05722"/>
    <w:p w14:paraId="3FA2B270" w14:textId="77777777" w:rsidR="00BB4185" w:rsidRPr="00B05722" w:rsidRDefault="00BB4185" w:rsidP="00B05722"/>
    <w:p w14:paraId="137E1C06" w14:textId="2D6F5E40" w:rsidR="009D3F89" w:rsidRPr="004B2CF9" w:rsidRDefault="009D3F89" w:rsidP="00B05722">
      <w:pPr>
        <w:pStyle w:val="SectionHeader"/>
      </w:pPr>
      <w:bookmarkStart w:id="41" w:name="_Toc450900509"/>
      <w:r w:rsidRPr="004B2CF9">
        <w:t>5.0</w:t>
      </w:r>
      <w:r w:rsidRPr="007A0E1B">
        <w:rPr>
          <w:color w:val="ED7D31" w:themeColor="accent2"/>
        </w:rPr>
        <w:t xml:space="preserve"> </w:t>
      </w:r>
      <w:r w:rsidRPr="004B2CF9">
        <w:t>Recommendations</w:t>
      </w:r>
      <w:bookmarkEnd w:id="41"/>
      <w:r w:rsidR="005B00E1">
        <w:t xml:space="preserve"> to Improve Drinking Water Source Protection and Sustainability (Module 8)</w:t>
      </w:r>
      <w:r w:rsidR="004B2CF9" w:rsidRPr="004B2CF9">
        <w:tab/>
      </w:r>
    </w:p>
    <w:p w14:paraId="6805D670" w14:textId="770EDD3F" w:rsidR="0074780F" w:rsidRDefault="00DE2B45" w:rsidP="0074780F">
      <w:pPr>
        <w:jc w:val="both"/>
        <w:rPr>
          <w:rFonts w:cs="Arial"/>
          <w:color w:val="ED7D31" w:themeColor="accent2"/>
          <w:szCs w:val="22"/>
        </w:rPr>
      </w:pPr>
      <w:r>
        <w:rPr>
          <w:rFonts w:cs="Arial"/>
          <w:color w:val="ED7D31" w:themeColor="accent2"/>
          <w:szCs w:val="22"/>
        </w:rPr>
        <w:t xml:space="preserve">The intent of Module 8 is to provide recommendations to protect source water quality based on the </w:t>
      </w:r>
      <w:r w:rsidR="00007628">
        <w:rPr>
          <w:rFonts w:cs="Arial"/>
          <w:color w:val="ED7D31" w:themeColor="accent2"/>
          <w:szCs w:val="22"/>
        </w:rPr>
        <w:t>information provided in</w:t>
      </w:r>
      <w:r w:rsidR="0074780F" w:rsidRPr="00B23C7B">
        <w:rPr>
          <w:rFonts w:cs="Arial"/>
          <w:color w:val="ED7D31" w:themeColor="accent2"/>
          <w:szCs w:val="22"/>
        </w:rPr>
        <w:t xml:space="preserve"> Modules 1, 2 and 7</w:t>
      </w:r>
      <w:r w:rsidR="00007628">
        <w:rPr>
          <w:rFonts w:cs="Arial"/>
          <w:color w:val="ED7D31" w:themeColor="accent2"/>
          <w:szCs w:val="22"/>
        </w:rPr>
        <w:t>.</w:t>
      </w:r>
      <w:r w:rsidR="0074780F" w:rsidRPr="00B23C7B">
        <w:rPr>
          <w:rFonts w:cs="Arial"/>
          <w:color w:val="ED7D31" w:themeColor="accent2"/>
          <w:szCs w:val="22"/>
        </w:rPr>
        <w:t xml:space="preserve"> </w:t>
      </w:r>
      <w:r w:rsidR="0036276F" w:rsidRPr="0036276F">
        <w:rPr>
          <w:color w:val="ED7D31" w:themeColor="accent2"/>
        </w:rPr>
        <w:t>The recommendations should include hazard(s) addressed, protective barriers enhanced, accountability and timelines for implementation.</w:t>
      </w:r>
    </w:p>
    <w:p w14:paraId="05377B8E" w14:textId="77777777" w:rsidR="00DD1A92" w:rsidRPr="00B23C7B" w:rsidRDefault="00DD1A92" w:rsidP="0074780F">
      <w:pPr>
        <w:jc w:val="both"/>
        <w:rPr>
          <w:rFonts w:cs="Arial"/>
          <w:color w:val="ED7D31" w:themeColor="accent2"/>
          <w:szCs w:val="22"/>
        </w:rPr>
      </w:pPr>
    </w:p>
    <w:p w14:paraId="35C46A76" w14:textId="29A91035" w:rsidR="00DD1A92" w:rsidRDefault="00DD1A92" w:rsidP="00DD1A92">
      <w:pPr>
        <w:pStyle w:val="sub-subsectionheader"/>
        <w:ind w:left="426"/>
      </w:pPr>
      <w:r>
        <w:t xml:space="preserve">5.1 </w:t>
      </w:r>
      <w:r w:rsidR="00BB4185">
        <w:t>Strengths, Weaknesses, Opportunities, and Threats Analysis</w:t>
      </w:r>
      <w:bookmarkStart w:id="42" w:name="_Toc442363643"/>
    </w:p>
    <w:p w14:paraId="18F31422" w14:textId="7F358ED3" w:rsidR="00007628" w:rsidRDefault="00007628" w:rsidP="00007628">
      <w:pPr>
        <w:ind w:left="426"/>
        <w:jc w:val="both"/>
        <w:rPr>
          <w:rFonts w:cs="Arial"/>
          <w:color w:val="ED7D31" w:themeColor="accent2"/>
          <w:szCs w:val="22"/>
        </w:rPr>
      </w:pPr>
      <w:r>
        <w:rPr>
          <w:rFonts w:cs="Arial"/>
          <w:color w:val="ED7D31" w:themeColor="accent2"/>
          <w:szCs w:val="22"/>
        </w:rPr>
        <w:t xml:space="preserve">Complete a Strength-Weakness-Opportunity-Threat (SWOT) analysis to summarize, understand and balance the strengths, weaknesses, </w:t>
      </w:r>
      <w:proofErr w:type="gramStart"/>
      <w:r>
        <w:rPr>
          <w:rFonts w:cs="Arial"/>
          <w:color w:val="ED7D31" w:themeColor="accent2"/>
          <w:szCs w:val="22"/>
        </w:rPr>
        <w:t>opportunities</w:t>
      </w:r>
      <w:proofErr w:type="gramEnd"/>
      <w:r>
        <w:rPr>
          <w:rFonts w:cs="Arial"/>
          <w:color w:val="ED7D31" w:themeColor="accent2"/>
          <w:szCs w:val="22"/>
        </w:rPr>
        <w:t xml:space="preserve"> and threats to the water source. Provide a summary in a table. </w:t>
      </w:r>
    </w:p>
    <w:p w14:paraId="44B527E4" w14:textId="74C83DC0" w:rsidR="005824EE" w:rsidRDefault="005824EE" w:rsidP="00007628">
      <w:pPr>
        <w:ind w:left="426"/>
        <w:jc w:val="both"/>
        <w:rPr>
          <w:rFonts w:cs="Arial"/>
          <w:color w:val="ED7D31" w:themeColor="accent2"/>
          <w:szCs w:val="22"/>
        </w:rPr>
      </w:pPr>
    </w:p>
    <w:p w14:paraId="7E24590A" w14:textId="2EF3AC2C" w:rsidR="00007628" w:rsidRDefault="00007628" w:rsidP="00007628">
      <w:pPr>
        <w:pStyle w:val="TableHeader"/>
        <w:jc w:val="center"/>
      </w:pPr>
      <w:r>
        <w:lastRenderedPageBreak/>
        <w:t>Table X SWOT Analysis for the Study Area</w:t>
      </w:r>
    </w:p>
    <w:tbl>
      <w:tblPr>
        <w:tblStyle w:val="TableGrid"/>
        <w:tblW w:w="0" w:type="auto"/>
        <w:tblLook w:val="04A0" w:firstRow="1" w:lastRow="0" w:firstColumn="1" w:lastColumn="0" w:noHBand="0" w:noVBand="1"/>
      </w:tblPr>
      <w:tblGrid>
        <w:gridCol w:w="4675"/>
        <w:gridCol w:w="4675"/>
      </w:tblGrid>
      <w:tr w:rsidR="00007628" w14:paraId="674C645A" w14:textId="77777777" w:rsidTr="00007628">
        <w:tc>
          <w:tcPr>
            <w:tcW w:w="4675" w:type="dxa"/>
          </w:tcPr>
          <w:p w14:paraId="3A1E3225" w14:textId="4E89B208" w:rsidR="00007628" w:rsidRPr="00007628" w:rsidRDefault="00007628" w:rsidP="00007628">
            <w:pPr>
              <w:pStyle w:val="NoSpacing"/>
              <w:jc w:val="center"/>
              <w:rPr>
                <w:b/>
              </w:rPr>
            </w:pPr>
            <w:r w:rsidRPr="00007628">
              <w:rPr>
                <w:b/>
              </w:rPr>
              <w:t>Strengths</w:t>
            </w:r>
          </w:p>
        </w:tc>
        <w:tc>
          <w:tcPr>
            <w:tcW w:w="4675" w:type="dxa"/>
          </w:tcPr>
          <w:p w14:paraId="3376955A" w14:textId="201C5D42" w:rsidR="00007628" w:rsidRPr="00007628" w:rsidRDefault="00007628" w:rsidP="00007628">
            <w:pPr>
              <w:pStyle w:val="NoSpacing"/>
              <w:jc w:val="center"/>
              <w:rPr>
                <w:b/>
              </w:rPr>
            </w:pPr>
            <w:r w:rsidRPr="00007628">
              <w:rPr>
                <w:b/>
              </w:rPr>
              <w:t>Weaknesses</w:t>
            </w:r>
          </w:p>
        </w:tc>
      </w:tr>
      <w:tr w:rsidR="00007628" w14:paraId="01BFD79F" w14:textId="77777777" w:rsidTr="00007628">
        <w:tc>
          <w:tcPr>
            <w:tcW w:w="4675" w:type="dxa"/>
          </w:tcPr>
          <w:p w14:paraId="0507FD19" w14:textId="32706BB9" w:rsidR="00007628" w:rsidRDefault="00007628" w:rsidP="005824EE">
            <w:pPr>
              <w:pStyle w:val="TableHeader"/>
            </w:pPr>
          </w:p>
          <w:p w14:paraId="0669972E" w14:textId="627E8CAA" w:rsidR="00007628" w:rsidRDefault="00007628" w:rsidP="003B60CB">
            <w:pPr>
              <w:pStyle w:val="TableHeader"/>
            </w:pPr>
          </w:p>
        </w:tc>
        <w:tc>
          <w:tcPr>
            <w:tcW w:w="4675" w:type="dxa"/>
          </w:tcPr>
          <w:p w14:paraId="1BD97DE7" w14:textId="77777777" w:rsidR="00007628" w:rsidRDefault="00007628" w:rsidP="00007628">
            <w:pPr>
              <w:pStyle w:val="TableHeader"/>
              <w:jc w:val="center"/>
            </w:pPr>
          </w:p>
        </w:tc>
      </w:tr>
      <w:tr w:rsidR="00007628" w14:paraId="289E9A75" w14:textId="77777777" w:rsidTr="00007628">
        <w:tc>
          <w:tcPr>
            <w:tcW w:w="4675" w:type="dxa"/>
          </w:tcPr>
          <w:p w14:paraId="0C0C0DA8" w14:textId="39477E4B" w:rsidR="00007628" w:rsidRPr="00007628" w:rsidRDefault="00007628" w:rsidP="00007628">
            <w:pPr>
              <w:pStyle w:val="NoSpacing"/>
              <w:jc w:val="center"/>
              <w:rPr>
                <w:b/>
              </w:rPr>
            </w:pPr>
            <w:r w:rsidRPr="00007628">
              <w:rPr>
                <w:b/>
              </w:rPr>
              <w:t>Opportunities</w:t>
            </w:r>
          </w:p>
        </w:tc>
        <w:tc>
          <w:tcPr>
            <w:tcW w:w="4675" w:type="dxa"/>
          </w:tcPr>
          <w:p w14:paraId="4574B05C" w14:textId="417176BE" w:rsidR="00007628" w:rsidRPr="00007628" w:rsidRDefault="00007628" w:rsidP="00007628">
            <w:pPr>
              <w:pStyle w:val="NoSpacing"/>
              <w:jc w:val="center"/>
              <w:rPr>
                <w:b/>
              </w:rPr>
            </w:pPr>
            <w:r w:rsidRPr="00007628">
              <w:rPr>
                <w:b/>
              </w:rPr>
              <w:t>Threats</w:t>
            </w:r>
          </w:p>
        </w:tc>
      </w:tr>
      <w:tr w:rsidR="00007628" w14:paraId="3DA96571" w14:textId="77777777" w:rsidTr="00007628">
        <w:tc>
          <w:tcPr>
            <w:tcW w:w="4675" w:type="dxa"/>
          </w:tcPr>
          <w:p w14:paraId="0F30F6B4" w14:textId="77777777" w:rsidR="00007628" w:rsidRDefault="00007628" w:rsidP="00007628">
            <w:pPr>
              <w:pStyle w:val="TableHeader"/>
              <w:jc w:val="center"/>
            </w:pPr>
          </w:p>
          <w:p w14:paraId="78B2B58C" w14:textId="2BE73CC9" w:rsidR="00007628" w:rsidRDefault="00007628" w:rsidP="003B60CB">
            <w:pPr>
              <w:pStyle w:val="TableHeader"/>
            </w:pPr>
          </w:p>
        </w:tc>
        <w:tc>
          <w:tcPr>
            <w:tcW w:w="4675" w:type="dxa"/>
          </w:tcPr>
          <w:p w14:paraId="7AEBA86D" w14:textId="77777777" w:rsidR="00007628" w:rsidRDefault="00007628" w:rsidP="00007628">
            <w:pPr>
              <w:pStyle w:val="TableHeader"/>
              <w:jc w:val="center"/>
            </w:pPr>
          </w:p>
        </w:tc>
      </w:tr>
    </w:tbl>
    <w:p w14:paraId="75EB7617" w14:textId="47C7EBBC" w:rsidR="003B60CB" w:rsidRDefault="003B60CB" w:rsidP="00007628">
      <w:pPr>
        <w:pStyle w:val="TableHeader"/>
        <w:jc w:val="center"/>
      </w:pPr>
    </w:p>
    <w:p w14:paraId="40D072E0" w14:textId="77777777" w:rsidR="00201D07" w:rsidRDefault="009D3F89" w:rsidP="00DD1A92">
      <w:pPr>
        <w:pStyle w:val="sub-subsectionheader"/>
        <w:ind w:left="426"/>
      </w:pPr>
      <w:bookmarkStart w:id="43" w:name="_Toc450900510"/>
      <w:bookmarkEnd w:id="42"/>
      <w:r w:rsidRPr="008B2A39">
        <w:t>5.</w:t>
      </w:r>
      <w:r w:rsidR="00DD1A92">
        <w:t>2</w:t>
      </w:r>
      <w:r w:rsidRPr="008B2A39">
        <w:t xml:space="preserve"> </w:t>
      </w:r>
      <w:bookmarkEnd w:id="43"/>
      <w:r w:rsidR="00201D07">
        <w:t xml:space="preserve">Recommendations </w:t>
      </w:r>
    </w:p>
    <w:p w14:paraId="02F915E3" w14:textId="166907A1" w:rsidR="00201D07" w:rsidRDefault="00201D07" w:rsidP="00201D07">
      <w:pPr>
        <w:pStyle w:val="sub-subsectionheader"/>
        <w:ind w:left="851"/>
        <w:rPr>
          <w:b w:val="0"/>
        </w:rPr>
      </w:pPr>
      <w:r>
        <w:rPr>
          <w:b w:val="0"/>
        </w:rPr>
        <w:t>5.2</w:t>
      </w:r>
      <w:r w:rsidRPr="00BB4185">
        <w:rPr>
          <w:b w:val="0"/>
        </w:rPr>
        <w:t xml:space="preserve">.1 </w:t>
      </w:r>
      <w:r>
        <w:rPr>
          <w:b w:val="0"/>
        </w:rPr>
        <w:t>Forest Development Risk</w:t>
      </w:r>
    </w:p>
    <w:p w14:paraId="179A410F" w14:textId="471173F3" w:rsidR="00007628" w:rsidRDefault="00007628" w:rsidP="00007628">
      <w:pPr>
        <w:ind w:left="851"/>
        <w:jc w:val="both"/>
        <w:rPr>
          <w:rFonts w:cs="Arial"/>
          <w:color w:val="ED7D31" w:themeColor="accent2"/>
          <w:szCs w:val="22"/>
        </w:rPr>
      </w:pPr>
      <w:r>
        <w:rPr>
          <w:rFonts w:cs="Arial"/>
          <w:color w:val="ED7D31" w:themeColor="accent2"/>
          <w:szCs w:val="22"/>
        </w:rPr>
        <w:t xml:space="preserve">List of recommendations related to sediment and turbidity from forest development activities. </w:t>
      </w:r>
    </w:p>
    <w:p w14:paraId="565656A5" w14:textId="77777777" w:rsidR="00007628" w:rsidRDefault="00007628" w:rsidP="00201D07">
      <w:pPr>
        <w:pStyle w:val="sub-subsectionheader"/>
        <w:ind w:left="851"/>
        <w:rPr>
          <w:b w:val="0"/>
        </w:rPr>
      </w:pPr>
    </w:p>
    <w:p w14:paraId="39B21079" w14:textId="4A892E76" w:rsidR="00201D07" w:rsidRDefault="00201D07" w:rsidP="00201D07">
      <w:pPr>
        <w:pStyle w:val="sub-subsectionheader"/>
        <w:ind w:left="851"/>
        <w:rPr>
          <w:b w:val="0"/>
        </w:rPr>
      </w:pPr>
      <w:r>
        <w:rPr>
          <w:b w:val="0"/>
        </w:rPr>
        <w:t>5.2.2</w:t>
      </w:r>
      <w:r w:rsidRPr="00BB4185">
        <w:rPr>
          <w:b w:val="0"/>
        </w:rPr>
        <w:t xml:space="preserve"> </w:t>
      </w:r>
      <w:r>
        <w:rPr>
          <w:b w:val="0"/>
        </w:rPr>
        <w:t>Wildfire Risk and Forest Health Risk</w:t>
      </w:r>
    </w:p>
    <w:p w14:paraId="1EE91719" w14:textId="2F2A7B4B" w:rsidR="00007628" w:rsidRDefault="00007628" w:rsidP="00007628">
      <w:pPr>
        <w:ind w:left="851"/>
        <w:jc w:val="both"/>
        <w:rPr>
          <w:rFonts w:cs="Arial"/>
          <w:color w:val="ED7D31" w:themeColor="accent2"/>
          <w:szCs w:val="22"/>
        </w:rPr>
      </w:pPr>
      <w:r>
        <w:rPr>
          <w:rFonts w:cs="Arial"/>
          <w:color w:val="ED7D31" w:themeColor="accent2"/>
          <w:szCs w:val="22"/>
        </w:rPr>
        <w:t xml:space="preserve">List of recommendations related to </w:t>
      </w:r>
      <w:r w:rsidR="009F2FD6">
        <w:rPr>
          <w:rFonts w:cs="Arial"/>
          <w:color w:val="ED7D31" w:themeColor="accent2"/>
          <w:szCs w:val="22"/>
        </w:rPr>
        <w:t>wildfire and declining forest health</w:t>
      </w:r>
      <w:r>
        <w:rPr>
          <w:rFonts w:cs="Arial"/>
          <w:color w:val="ED7D31" w:themeColor="accent2"/>
          <w:szCs w:val="22"/>
        </w:rPr>
        <w:t xml:space="preserve">. </w:t>
      </w:r>
    </w:p>
    <w:p w14:paraId="0BC85171" w14:textId="77777777" w:rsidR="00007628" w:rsidRDefault="00007628" w:rsidP="00201D07">
      <w:pPr>
        <w:pStyle w:val="sub-subsectionheader"/>
        <w:ind w:left="851"/>
        <w:rPr>
          <w:b w:val="0"/>
        </w:rPr>
      </w:pPr>
    </w:p>
    <w:p w14:paraId="1997ED47" w14:textId="6F27D2A6" w:rsidR="00201D07" w:rsidRDefault="00201D07" w:rsidP="00201D07">
      <w:pPr>
        <w:pStyle w:val="sub-subsectionheader"/>
        <w:ind w:left="851"/>
        <w:rPr>
          <w:b w:val="0"/>
        </w:rPr>
      </w:pPr>
      <w:r>
        <w:rPr>
          <w:b w:val="0"/>
        </w:rPr>
        <w:t>5.2.3</w:t>
      </w:r>
      <w:r w:rsidRPr="00BB4185">
        <w:rPr>
          <w:b w:val="0"/>
        </w:rPr>
        <w:t xml:space="preserve"> </w:t>
      </w:r>
      <w:r>
        <w:rPr>
          <w:b w:val="0"/>
        </w:rPr>
        <w:t>Natural Process, Landslide and Geohazard Risk</w:t>
      </w:r>
    </w:p>
    <w:p w14:paraId="723CA5DD" w14:textId="4E80D71D" w:rsidR="00007628" w:rsidRDefault="00007628" w:rsidP="00007628">
      <w:pPr>
        <w:ind w:left="851"/>
        <w:jc w:val="both"/>
        <w:rPr>
          <w:rFonts w:cs="Arial"/>
          <w:color w:val="ED7D31" w:themeColor="accent2"/>
          <w:szCs w:val="22"/>
        </w:rPr>
      </w:pPr>
      <w:r>
        <w:rPr>
          <w:rFonts w:cs="Arial"/>
          <w:color w:val="ED7D31" w:themeColor="accent2"/>
          <w:szCs w:val="22"/>
        </w:rPr>
        <w:t xml:space="preserve">List of recommendations related to </w:t>
      </w:r>
      <w:r w:rsidR="009F2FD6">
        <w:rPr>
          <w:rFonts w:cs="Arial"/>
          <w:color w:val="ED7D31" w:themeColor="accent2"/>
          <w:szCs w:val="22"/>
        </w:rPr>
        <w:t>naturally occurring processes, landslides and other geohazards.</w:t>
      </w:r>
    </w:p>
    <w:p w14:paraId="65C92FD3" w14:textId="77777777" w:rsidR="00007628" w:rsidRDefault="00007628" w:rsidP="00201D07">
      <w:pPr>
        <w:pStyle w:val="sub-subsectionheader"/>
        <w:ind w:left="851"/>
        <w:rPr>
          <w:b w:val="0"/>
        </w:rPr>
      </w:pPr>
    </w:p>
    <w:p w14:paraId="620D93E9" w14:textId="1BB404ED" w:rsidR="00201D07" w:rsidRDefault="00201D07" w:rsidP="00201D07">
      <w:pPr>
        <w:pStyle w:val="sub-subsectionheader"/>
        <w:ind w:left="851"/>
        <w:rPr>
          <w:b w:val="0"/>
        </w:rPr>
      </w:pPr>
      <w:r>
        <w:rPr>
          <w:b w:val="0"/>
        </w:rPr>
        <w:t>5.2.4</w:t>
      </w:r>
      <w:r w:rsidRPr="00BB4185">
        <w:rPr>
          <w:b w:val="0"/>
        </w:rPr>
        <w:t xml:space="preserve"> </w:t>
      </w:r>
      <w:r>
        <w:rPr>
          <w:b w:val="0"/>
        </w:rPr>
        <w:t>Recreation Risk</w:t>
      </w:r>
    </w:p>
    <w:p w14:paraId="48246C2D" w14:textId="20C224A5" w:rsidR="00007628" w:rsidRDefault="00007628" w:rsidP="00007628">
      <w:pPr>
        <w:ind w:left="851"/>
        <w:jc w:val="both"/>
        <w:rPr>
          <w:rFonts w:cs="Arial"/>
          <w:color w:val="ED7D31" w:themeColor="accent2"/>
          <w:szCs w:val="22"/>
        </w:rPr>
      </w:pPr>
      <w:r>
        <w:rPr>
          <w:rFonts w:cs="Arial"/>
          <w:color w:val="ED7D31" w:themeColor="accent2"/>
          <w:szCs w:val="22"/>
        </w:rPr>
        <w:t xml:space="preserve">List of recommendations related to sediment and turbidity from </w:t>
      </w:r>
      <w:r w:rsidR="009F2FD6">
        <w:rPr>
          <w:rFonts w:cs="Arial"/>
          <w:color w:val="ED7D31" w:themeColor="accent2"/>
          <w:szCs w:val="22"/>
        </w:rPr>
        <w:t>recreation use</w:t>
      </w:r>
      <w:r>
        <w:rPr>
          <w:rFonts w:cs="Arial"/>
          <w:color w:val="ED7D31" w:themeColor="accent2"/>
          <w:szCs w:val="22"/>
        </w:rPr>
        <w:t xml:space="preserve">. </w:t>
      </w:r>
    </w:p>
    <w:p w14:paraId="642DB277" w14:textId="77777777" w:rsidR="00007628" w:rsidRDefault="00007628" w:rsidP="00201D07">
      <w:pPr>
        <w:pStyle w:val="sub-subsectionheader"/>
        <w:ind w:left="851"/>
        <w:rPr>
          <w:b w:val="0"/>
        </w:rPr>
      </w:pPr>
    </w:p>
    <w:p w14:paraId="1D422E5F" w14:textId="3856D83C" w:rsidR="00201D07" w:rsidRDefault="00201D07" w:rsidP="00201D07">
      <w:pPr>
        <w:pStyle w:val="sub-subsectionheader"/>
        <w:ind w:left="851"/>
        <w:rPr>
          <w:b w:val="0"/>
        </w:rPr>
      </w:pPr>
      <w:r>
        <w:rPr>
          <w:b w:val="0"/>
        </w:rPr>
        <w:t>5.2.5</w:t>
      </w:r>
      <w:r w:rsidRPr="00BB4185">
        <w:rPr>
          <w:b w:val="0"/>
        </w:rPr>
        <w:t xml:space="preserve"> </w:t>
      </w:r>
      <w:r>
        <w:rPr>
          <w:b w:val="0"/>
        </w:rPr>
        <w:t>Climate Change Risk</w:t>
      </w:r>
    </w:p>
    <w:p w14:paraId="2F52ECA9" w14:textId="0670CD19" w:rsidR="00007628" w:rsidRDefault="00007628" w:rsidP="00007628">
      <w:pPr>
        <w:ind w:left="851"/>
        <w:jc w:val="both"/>
        <w:rPr>
          <w:rFonts w:cs="Arial"/>
          <w:color w:val="ED7D31" w:themeColor="accent2"/>
          <w:szCs w:val="22"/>
        </w:rPr>
      </w:pPr>
      <w:r>
        <w:rPr>
          <w:rFonts w:cs="Arial"/>
          <w:color w:val="ED7D31" w:themeColor="accent2"/>
          <w:szCs w:val="22"/>
        </w:rPr>
        <w:t xml:space="preserve">List of recommendations related to </w:t>
      </w:r>
      <w:r w:rsidR="009F2FD6">
        <w:rPr>
          <w:rFonts w:cs="Arial"/>
          <w:color w:val="ED7D31" w:themeColor="accent2"/>
          <w:szCs w:val="22"/>
        </w:rPr>
        <w:t>climate change risks</w:t>
      </w:r>
      <w:r>
        <w:rPr>
          <w:rFonts w:cs="Arial"/>
          <w:color w:val="ED7D31" w:themeColor="accent2"/>
          <w:szCs w:val="22"/>
        </w:rPr>
        <w:t xml:space="preserve">. </w:t>
      </w:r>
    </w:p>
    <w:p w14:paraId="76B2401F" w14:textId="77777777" w:rsidR="00007628" w:rsidRDefault="00007628" w:rsidP="00201D07">
      <w:pPr>
        <w:pStyle w:val="sub-subsectionheader"/>
        <w:ind w:left="851"/>
        <w:rPr>
          <w:b w:val="0"/>
        </w:rPr>
      </w:pPr>
    </w:p>
    <w:p w14:paraId="6EBCF961" w14:textId="1B4DCB91" w:rsidR="00201D07" w:rsidRDefault="00201D07" w:rsidP="00201D07">
      <w:pPr>
        <w:pStyle w:val="sub-subsectionheader"/>
        <w:ind w:left="851"/>
        <w:rPr>
          <w:b w:val="0"/>
        </w:rPr>
      </w:pPr>
      <w:r>
        <w:rPr>
          <w:b w:val="0"/>
        </w:rPr>
        <w:t>5.2.6 Chemical Contamination Risk</w:t>
      </w:r>
    </w:p>
    <w:p w14:paraId="660A2C47" w14:textId="54F054CA" w:rsidR="00007628" w:rsidRDefault="00007628" w:rsidP="00007628">
      <w:pPr>
        <w:ind w:left="851"/>
        <w:jc w:val="both"/>
        <w:rPr>
          <w:rFonts w:cs="Arial"/>
          <w:color w:val="ED7D31" w:themeColor="accent2"/>
          <w:szCs w:val="22"/>
        </w:rPr>
      </w:pPr>
      <w:r>
        <w:rPr>
          <w:rFonts w:cs="Arial"/>
          <w:color w:val="ED7D31" w:themeColor="accent2"/>
          <w:szCs w:val="22"/>
        </w:rPr>
        <w:t xml:space="preserve">List of recommendations related to </w:t>
      </w:r>
      <w:r w:rsidR="009F2FD6">
        <w:rPr>
          <w:rFonts w:cs="Arial"/>
          <w:color w:val="ED7D31" w:themeColor="accent2"/>
          <w:szCs w:val="22"/>
        </w:rPr>
        <w:t>chemical contamination</w:t>
      </w:r>
      <w:r>
        <w:rPr>
          <w:rFonts w:cs="Arial"/>
          <w:color w:val="ED7D31" w:themeColor="accent2"/>
          <w:szCs w:val="22"/>
        </w:rPr>
        <w:t xml:space="preserve">. </w:t>
      </w:r>
    </w:p>
    <w:p w14:paraId="128727AF" w14:textId="77777777" w:rsidR="00007628" w:rsidRDefault="00007628" w:rsidP="00201D07">
      <w:pPr>
        <w:pStyle w:val="sub-subsectionheader"/>
        <w:ind w:left="851"/>
        <w:rPr>
          <w:b w:val="0"/>
        </w:rPr>
      </w:pPr>
    </w:p>
    <w:p w14:paraId="4D5E49F0" w14:textId="39AC0C29" w:rsidR="00201D07" w:rsidRDefault="00201D07" w:rsidP="00201D07">
      <w:pPr>
        <w:pStyle w:val="sub-subsectionheader"/>
        <w:ind w:left="851"/>
        <w:rPr>
          <w:b w:val="0"/>
        </w:rPr>
      </w:pPr>
      <w:r>
        <w:rPr>
          <w:b w:val="0"/>
        </w:rPr>
        <w:t xml:space="preserve">5.2.7 Other </w:t>
      </w:r>
    </w:p>
    <w:p w14:paraId="24B7C94B" w14:textId="205EADD0" w:rsidR="00201D07" w:rsidRDefault="009F2FD6" w:rsidP="009F2FD6">
      <w:pPr>
        <w:pStyle w:val="NoSpacing"/>
        <w:ind w:left="851"/>
        <w:rPr>
          <w:rFonts w:cs="Arial"/>
          <w:color w:val="ED7D31" w:themeColor="accent2"/>
          <w:szCs w:val="22"/>
        </w:rPr>
      </w:pPr>
      <w:r>
        <w:rPr>
          <w:rFonts w:cs="Arial"/>
          <w:color w:val="ED7D31" w:themeColor="accent2"/>
          <w:szCs w:val="22"/>
        </w:rPr>
        <w:t xml:space="preserve">List of other general recommendations to protect water quality and quantity in the source watershed(s). </w:t>
      </w:r>
    </w:p>
    <w:p w14:paraId="687CD032" w14:textId="77777777" w:rsidR="009F2FD6" w:rsidRDefault="009F2FD6" w:rsidP="00DD1A92">
      <w:pPr>
        <w:pStyle w:val="NoSpacing"/>
      </w:pPr>
    </w:p>
    <w:p w14:paraId="13D31D03" w14:textId="073F7CF2" w:rsidR="00DD1A92" w:rsidRDefault="00201D07" w:rsidP="00DD1A92">
      <w:pPr>
        <w:pStyle w:val="sub-subsectionheader"/>
        <w:ind w:left="426"/>
      </w:pPr>
      <w:r>
        <w:t>5.3</w:t>
      </w:r>
      <w:r w:rsidR="00DD1A92">
        <w:t xml:space="preserve"> Summary of Recommendations </w:t>
      </w:r>
    </w:p>
    <w:p w14:paraId="558F7E3D" w14:textId="135D1093" w:rsidR="009F2FD6" w:rsidRDefault="009F2FD6" w:rsidP="009F2FD6">
      <w:pPr>
        <w:pStyle w:val="NoSpacing"/>
        <w:ind w:left="426"/>
        <w:rPr>
          <w:rFonts w:cs="Arial"/>
          <w:color w:val="ED7D31" w:themeColor="accent2"/>
          <w:szCs w:val="22"/>
        </w:rPr>
      </w:pPr>
      <w:r>
        <w:rPr>
          <w:rFonts w:cs="Arial"/>
          <w:color w:val="ED7D31" w:themeColor="accent2"/>
          <w:szCs w:val="22"/>
        </w:rPr>
        <w:t>Summary table of the above-listed recommendations.</w:t>
      </w:r>
    </w:p>
    <w:p w14:paraId="4631CB34" w14:textId="69FE54C4" w:rsidR="009F2FD6" w:rsidRDefault="009F2FD6" w:rsidP="005824EE">
      <w:pPr>
        <w:pStyle w:val="NoSpacing"/>
        <w:rPr>
          <w:rFonts w:cs="Arial"/>
          <w:color w:val="ED7D31" w:themeColor="accent2"/>
          <w:szCs w:val="22"/>
        </w:rPr>
      </w:pPr>
    </w:p>
    <w:p w14:paraId="2F4011CE" w14:textId="0B13378D" w:rsidR="009F2FD6" w:rsidRDefault="009F2FD6" w:rsidP="009F2FD6">
      <w:pPr>
        <w:pStyle w:val="TableHeader"/>
        <w:jc w:val="center"/>
      </w:pPr>
      <w:r>
        <w:t>Table X Summary of Source Protection Plan Recommendations (Module 8)</w:t>
      </w:r>
    </w:p>
    <w:p w14:paraId="310903D8" w14:textId="555B4F2F" w:rsidR="00DD1A92" w:rsidRPr="009F2FD6" w:rsidRDefault="00DD1A92" w:rsidP="009F2FD6">
      <w:pPr>
        <w:pStyle w:val="NoSpacing"/>
      </w:pPr>
    </w:p>
    <w:tbl>
      <w:tblPr>
        <w:tblStyle w:val="TableGrid"/>
        <w:tblW w:w="0" w:type="auto"/>
        <w:tblLook w:val="04A0" w:firstRow="1" w:lastRow="0" w:firstColumn="1" w:lastColumn="0" w:noHBand="0" w:noVBand="1"/>
      </w:tblPr>
      <w:tblGrid>
        <w:gridCol w:w="1832"/>
        <w:gridCol w:w="1826"/>
        <w:gridCol w:w="1834"/>
        <w:gridCol w:w="2006"/>
        <w:gridCol w:w="1852"/>
      </w:tblGrid>
      <w:tr w:rsidR="009F2FD6" w:rsidRPr="009F2FD6" w14:paraId="3797ADC5" w14:textId="77777777" w:rsidTr="005824EE">
        <w:tc>
          <w:tcPr>
            <w:tcW w:w="1832" w:type="dxa"/>
          </w:tcPr>
          <w:p w14:paraId="777D29F5" w14:textId="7F219BF1" w:rsidR="009F2FD6" w:rsidRPr="009F2FD6" w:rsidRDefault="009F2FD6" w:rsidP="009F2FD6">
            <w:pPr>
              <w:pStyle w:val="NoSpacing"/>
              <w:rPr>
                <w:b/>
              </w:rPr>
            </w:pPr>
            <w:r w:rsidRPr="009F2FD6">
              <w:rPr>
                <w:b/>
              </w:rPr>
              <w:t>Hazard Type</w:t>
            </w:r>
          </w:p>
        </w:tc>
        <w:tc>
          <w:tcPr>
            <w:tcW w:w="1826" w:type="dxa"/>
          </w:tcPr>
          <w:p w14:paraId="17BF97DD" w14:textId="341DD38D" w:rsidR="009F2FD6" w:rsidRPr="009F2FD6" w:rsidRDefault="009F2FD6" w:rsidP="009F2FD6">
            <w:pPr>
              <w:pStyle w:val="NoSpacing"/>
              <w:rPr>
                <w:b/>
              </w:rPr>
            </w:pPr>
            <w:r w:rsidRPr="009F2FD6">
              <w:rPr>
                <w:b/>
              </w:rPr>
              <w:t xml:space="preserve">Risk Level </w:t>
            </w:r>
          </w:p>
        </w:tc>
        <w:tc>
          <w:tcPr>
            <w:tcW w:w="1834" w:type="dxa"/>
          </w:tcPr>
          <w:p w14:paraId="2C31B681" w14:textId="5C21CCB4" w:rsidR="009F2FD6" w:rsidRPr="009F2FD6" w:rsidRDefault="009F2FD6" w:rsidP="009F2FD6">
            <w:pPr>
              <w:pStyle w:val="NoSpacing"/>
              <w:rPr>
                <w:b/>
              </w:rPr>
            </w:pPr>
            <w:r w:rsidRPr="009F2FD6">
              <w:rPr>
                <w:b/>
              </w:rPr>
              <w:t>SPP Report Section and Item #</w:t>
            </w:r>
          </w:p>
        </w:tc>
        <w:tc>
          <w:tcPr>
            <w:tcW w:w="2006" w:type="dxa"/>
          </w:tcPr>
          <w:p w14:paraId="0A3335B4" w14:textId="0783A422" w:rsidR="009F2FD6" w:rsidRPr="009F2FD6" w:rsidRDefault="009F2FD6" w:rsidP="009F2FD6">
            <w:pPr>
              <w:pStyle w:val="NoSpacing"/>
              <w:rPr>
                <w:b/>
              </w:rPr>
            </w:pPr>
            <w:r w:rsidRPr="009F2FD6">
              <w:rPr>
                <w:b/>
              </w:rPr>
              <w:t>Recommendations</w:t>
            </w:r>
          </w:p>
        </w:tc>
        <w:tc>
          <w:tcPr>
            <w:tcW w:w="1852" w:type="dxa"/>
          </w:tcPr>
          <w:p w14:paraId="699FEEC3" w14:textId="69A7A453" w:rsidR="009F2FD6" w:rsidRPr="009F2FD6" w:rsidRDefault="009F2FD6" w:rsidP="009F2FD6">
            <w:pPr>
              <w:pStyle w:val="NoSpacing"/>
              <w:rPr>
                <w:b/>
              </w:rPr>
            </w:pPr>
            <w:r w:rsidRPr="009F2FD6">
              <w:rPr>
                <w:b/>
              </w:rPr>
              <w:t>Responsible Party</w:t>
            </w:r>
          </w:p>
        </w:tc>
      </w:tr>
      <w:tr w:rsidR="009F2FD6" w14:paraId="4E7B9774" w14:textId="77777777" w:rsidTr="005824EE">
        <w:tc>
          <w:tcPr>
            <w:tcW w:w="1832" w:type="dxa"/>
          </w:tcPr>
          <w:p w14:paraId="50F22CDE" w14:textId="77777777" w:rsidR="009F2FD6" w:rsidRDefault="009F2FD6" w:rsidP="009F2FD6">
            <w:pPr>
              <w:pStyle w:val="NoSpacing"/>
            </w:pPr>
          </w:p>
        </w:tc>
        <w:tc>
          <w:tcPr>
            <w:tcW w:w="1826" w:type="dxa"/>
          </w:tcPr>
          <w:p w14:paraId="75B0135E" w14:textId="77777777" w:rsidR="009F2FD6" w:rsidRDefault="009F2FD6" w:rsidP="009F2FD6">
            <w:pPr>
              <w:pStyle w:val="NoSpacing"/>
            </w:pPr>
          </w:p>
        </w:tc>
        <w:tc>
          <w:tcPr>
            <w:tcW w:w="1834" w:type="dxa"/>
          </w:tcPr>
          <w:p w14:paraId="7EE3EB5D" w14:textId="77777777" w:rsidR="009F2FD6" w:rsidRDefault="009F2FD6" w:rsidP="009F2FD6">
            <w:pPr>
              <w:pStyle w:val="NoSpacing"/>
            </w:pPr>
          </w:p>
        </w:tc>
        <w:tc>
          <w:tcPr>
            <w:tcW w:w="2006" w:type="dxa"/>
          </w:tcPr>
          <w:p w14:paraId="08C9567C" w14:textId="77777777" w:rsidR="009F2FD6" w:rsidRDefault="009F2FD6" w:rsidP="009F2FD6">
            <w:pPr>
              <w:pStyle w:val="NoSpacing"/>
            </w:pPr>
          </w:p>
        </w:tc>
        <w:tc>
          <w:tcPr>
            <w:tcW w:w="1852" w:type="dxa"/>
          </w:tcPr>
          <w:p w14:paraId="2F0784BA" w14:textId="77777777" w:rsidR="009F2FD6" w:rsidRDefault="009F2FD6" w:rsidP="009F2FD6">
            <w:pPr>
              <w:pStyle w:val="NoSpacing"/>
            </w:pPr>
          </w:p>
        </w:tc>
      </w:tr>
      <w:tr w:rsidR="009F2FD6" w14:paraId="25DFC423" w14:textId="77777777" w:rsidTr="005824EE">
        <w:tc>
          <w:tcPr>
            <w:tcW w:w="1832" w:type="dxa"/>
          </w:tcPr>
          <w:p w14:paraId="766E2CB5" w14:textId="77777777" w:rsidR="009F2FD6" w:rsidRDefault="009F2FD6" w:rsidP="009F2FD6">
            <w:pPr>
              <w:pStyle w:val="NoSpacing"/>
            </w:pPr>
          </w:p>
        </w:tc>
        <w:tc>
          <w:tcPr>
            <w:tcW w:w="1826" w:type="dxa"/>
          </w:tcPr>
          <w:p w14:paraId="7BB60759" w14:textId="77777777" w:rsidR="009F2FD6" w:rsidRDefault="009F2FD6" w:rsidP="009F2FD6">
            <w:pPr>
              <w:pStyle w:val="NoSpacing"/>
            </w:pPr>
          </w:p>
        </w:tc>
        <w:tc>
          <w:tcPr>
            <w:tcW w:w="1834" w:type="dxa"/>
          </w:tcPr>
          <w:p w14:paraId="1144DB3E" w14:textId="77777777" w:rsidR="009F2FD6" w:rsidRDefault="009F2FD6" w:rsidP="009F2FD6">
            <w:pPr>
              <w:pStyle w:val="NoSpacing"/>
            </w:pPr>
          </w:p>
        </w:tc>
        <w:tc>
          <w:tcPr>
            <w:tcW w:w="2006" w:type="dxa"/>
          </w:tcPr>
          <w:p w14:paraId="199BA162" w14:textId="77777777" w:rsidR="009F2FD6" w:rsidRDefault="009F2FD6" w:rsidP="009F2FD6">
            <w:pPr>
              <w:pStyle w:val="NoSpacing"/>
            </w:pPr>
          </w:p>
        </w:tc>
        <w:tc>
          <w:tcPr>
            <w:tcW w:w="1852" w:type="dxa"/>
          </w:tcPr>
          <w:p w14:paraId="028AE780" w14:textId="77777777" w:rsidR="009F2FD6" w:rsidRDefault="009F2FD6" w:rsidP="009F2FD6">
            <w:pPr>
              <w:pStyle w:val="NoSpacing"/>
            </w:pPr>
          </w:p>
        </w:tc>
      </w:tr>
    </w:tbl>
    <w:p w14:paraId="28766FE0" w14:textId="62AEBB37" w:rsidR="009F2FD6" w:rsidRDefault="009F2FD6" w:rsidP="009F2FD6">
      <w:pPr>
        <w:pStyle w:val="NoSpacing"/>
      </w:pPr>
    </w:p>
    <w:p w14:paraId="6B7AD78C" w14:textId="6EB38136" w:rsidR="007A0E1B" w:rsidRDefault="007A0E1B" w:rsidP="007A0E1B">
      <w:pPr>
        <w:ind w:right="504"/>
        <w:rPr>
          <w:color w:val="000000"/>
          <w:spacing w:val="-1"/>
        </w:rPr>
      </w:pPr>
    </w:p>
    <w:p w14:paraId="57A7EF1B" w14:textId="4CF8A9B0" w:rsidR="005B00E1" w:rsidRPr="00A34B97" w:rsidRDefault="005B00E1" w:rsidP="00A34B97">
      <w:r>
        <w:br w:type="page"/>
      </w:r>
    </w:p>
    <w:p w14:paraId="670FB2E7" w14:textId="2E34BCE7" w:rsidR="005B00E1" w:rsidRDefault="005B00E1" w:rsidP="00DD1A92">
      <w:pPr>
        <w:pStyle w:val="Heading1"/>
      </w:pPr>
      <w:bookmarkStart w:id="44" w:name="_Hlk82775794"/>
      <w:r>
        <w:lastRenderedPageBreak/>
        <w:t>PART 2 – RESPONSE PLAN</w:t>
      </w:r>
    </w:p>
    <w:p w14:paraId="3FA509B0" w14:textId="5AFFCA6A" w:rsidR="00F35F53" w:rsidRDefault="00CC42FD" w:rsidP="00F35F53">
      <w:pPr>
        <w:pStyle w:val="NoSpacing"/>
        <w:rPr>
          <w:rFonts w:cs="Arial"/>
          <w:color w:val="ED7D31" w:themeColor="accent2"/>
          <w:szCs w:val="22"/>
        </w:rPr>
      </w:pPr>
      <w:r>
        <w:rPr>
          <w:rFonts w:cs="Arial"/>
          <w:color w:val="ED7D31" w:themeColor="accent2"/>
          <w:szCs w:val="22"/>
        </w:rPr>
        <w:t>P</w:t>
      </w:r>
      <w:r w:rsidR="00F35F53">
        <w:rPr>
          <w:rFonts w:cs="Arial"/>
          <w:color w:val="ED7D31" w:themeColor="accent2"/>
          <w:szCs w:val="22"/>
        </w:rPr>
        <w:t xml:space="preserve">rovides detailed and specific responses to the risks identified in the Source Water Assessment. </w:t>
      </w:r>
      <w:r>
        <w:rPr>
          <w:rFonts w:cs="Arial"/>
          <w:color w:val="ED7D31" w:themeColor="accent2"/>
          <w:szCs w:val="22"/>
        </w:rPr>
        <w:t xml:space="preserve">Outline the assessment recommendations and provide a forward look at future actions to be completed by the water supplier, other licensed users, and regulators. For each action, include estimated time and cost, and background information to provide insight and rationale for establishing response initiatives. Note: the plan is considered a living document and will continue to evolve as new hazards are identified and previous hazards are addressed. </w:t>
      </w:r>
    </w:p>
    <w:p w14:paraId="7AD23A20" w14:textId="084D3890" w:rsidR="00BB3DE7" w:rsidRDefault="00BB3DE7" w:rsidP="00BB3DE7"/>
    <w:p w14:paraId="157F9B72" w14:textId="5F846558" w:rsidR="00DD1A92" w:rsidRDefault="00DD1A92" w:rsidP="00DD1A92">
      <w:pPr>
        <w:pStyle w:val="Heading1"/>
      </w:pPr>
      <w:r>
        <w:t>1.0 Introduction</w:t>
      </w:r>
    </w:p>
    <w:p w14:paraId="6CD65AEC" w14:textId="77777777" w:rsidR="00DD1A92" w:rsidRDefault="00DD1A92" w:rsidP="00DD1A92">
      <w:pPr>
        <w:pStyle w:val="sub-subsectionheader"/>
      </w:pPr>
    </w:p>
    <w:p w14:paraId="408286D0" w14:textId="55B7F662" w:rsidR="00CC42FD" w:rsidRDefault="00DD1A92" w:rsidP="00DD1A92">
      <w:pPr>
        <w:pStyle w:val="sub-subsectionheader"/>
        <w:ind w:left="426"/>
      </w:pPr>
      <w:r>
        <w:t xml:space="preserve">1.1 </w:t>
      </w:r>
      <w:r w:rsidR="00CC42FD">
        <w:t>Purpose of the Response Plan</w:t>
      </w:r>
    </w:p>
    <w:p w14:paraId="7C8BE30A" w14:textId="415E6444" w:rsidR="00CC42FD" w:rsidRPr="00CC42FD" w:rsidRDefault="00CC42FD" w:rsidP="00CC42FD">
      <w:pPr>
        <w:pStyle w:val="NoSpacing"/>
        <w:ind w:left="426"/>
        <w:rPr>
          <w:color w:val="ED7D31" w:themeColor="accent2"/>
        </w:rPr>
      </w:pPr>
      <w:r w:rsidRPr="00CC42FD">
        <w:rPr>
          <w:color w:val="ED7D31" w:themeColor="accent2"/>
        </w:rPr>
        <w:t>Describe</w:t>
      </w:r>
      <w:r>
        <w:rPr>
          <w:color w:val="ED7D31" w:themeColor="accent2"/>
        </w:rPr>
        <w:t xml:space="preserve"> the purpose and format of the Response Plan. </w:t>
      </w:r>
    </w:p>
    <w:p w14:paraId="0D740232" w14:textId="77777777" w:rsidR="00CC42FD" w:rsidRDefault="00CC42FD" w:rsidP="00DD1A92">
      <w:pPr>
        <w:pStyle w:val="sub-subsectionheader"/>
        <w:ind w:left="426"/>
      </w:pPr>
    </w:p>
    <w:p w14:paraId="550F7B7C" w14:textId="48028F31" w:rsidR="00DD1A92" w:rsidRDefault="00CC42FD" w:rsidP="00DD1A92">
      <w:pPr>
        <w:pStyle w:val="sub-subsectionheader"/>
        <w:ind w:left="426"/>
      </w:pPr>
      <w:r>
        <w:t xml:space="preserve">1.2 </w:t>
      </w:r>
      <w:r w:rsidR="00DD1A92">
        <w:t>Watershed Technical Committee and Goals</w:t>
      </w:r>
    </w:p>
    <w:p w14:paraId="00B24B05" w14:textId="6D22AED0" w:rsidR="00DD1A92" w:rsidRPr="00CC42FD" w:rsidRDefault="00CC42FD" w:rsidP="00CC42FD">
      <w:pPr>
        <w:pStyle w:val="NoSpacing"/>
        <w:ind w:left="426"/>
        <w:rPr>
          <w:color w:val="ED7D31" w:themeColor="accent2"/>
        </w:rPr>
      </w:pPr>
      <w:r w:rsidRPr="00CC42FD">
        <w:rPr>
          <w:color w:val="ED7D31" w:themeColor="accent2"/>
        </w:rPr>
        <w:t>Describe</w:t>
      </w:r>
      <w:r>
        <w:rPr>
          <w:color w:val="ED7D31" w:themeColor="accent2"/>
        </w:rPr>
        <w:t xml:space="preserve"> the technical committee that was established to guide the process. </w:t>
      </w:r>
    </w:p>
    <w:p w14:paraId="33D0393E" w14:textId="77777777" w:rsidR="00CC42FD" w:rsidRDefault="00CC42FD" w:rsidP="00DD1A92">
      <w:pPr>
        <w:pStyle w:val="sub-subsectionheader"/>
        <w:ind w:left="426"/>
      </w:pPr>
    </w:p>
    <w:p w14:paraId="51D8E068" w14:textId="1BA52C30" w:rsidR="00DD1A92" w:rsidRDefault="00DD1A92" w:rsidP="00BB3DE7"/>
    <w:p w14:paraId="2A9CDDD8" w14:textId="21EDBF49" w:rsidR="00DD1A92" w:rsidRDefault="00DD1A92" w:rsidP="00DD1A92">
      <w:pPr>
        <w:pStyle w:val="Heading1"/>
      </w:pPr>
      <w:r>
        <w:t>2.0 Response Plan Forms</w:t>
      </w:r>
    </w:p>
    <w:p w14:paraId="15D1A996" w14:textId="77777777" w:rsidR="00DD1A92" w:rsidRDefault="00DD1A92" w:rsidP="00DD1A92">
      <w:pPr>
        <w:pStyle w:val="sub-subsectionheader"/>
      </w:pPr>
    </w:p>
    <w:p w14:paraId="6E9B6F06" w14:textId="2A79983A" w:rsidR="00DD1A92" w:rsidRDefault="00DD1A92" w:rsidP="00DD1A92">
      <w:pPr>
        <w:pStyle w:val="sub-subsectionheader"/>
        <w:ind w:left="426"/>
      </w:pPr>
      <w:r>
        <w:t>2.1 Response Plan Templates</w:t>
      </w:r>
    </w:p>
    <w:p w14:paraId="36FB11A7" w14:textId="1B9B8E57" w:rsidR="00DD1A92" w:rsidRDefault="001D6EAF" w:rsidP="00DD1A92">
      <w:pPr>
        <w:pStyle w:val="sub-subsectionheader"/>
        <w:ind w:left="426"/>
        <w:rPr>
          <w:b w:val="0"/>
          <w:bCs w:val="0"/>
          <w:color w:val="ED7D31" w:themeColor="accent2"/>
        </w:rPr>
      </w:pPr>
      <w:r>
        <w:rPr>
          <w:b w:val="0"/>
          <w:bCs w:val="0"/>
          <w:color w:val="ED7D31" w:themeColor="accent2"/>
        </w:rPr>
        <w:t xml:space="preserve">Develop a Response Plan template that can be issued to gather input from Watershed Technical Committee members and other stakeholders. </w:t>
      </w:r>
      <w:r w:rsidR="00A34B97">
        <w:rPr>
          <w:b w:val="0"/>
          <w:bCs w:val="0"/>
          <w:color w:val="ED7D31" w:themeColor="accent2"/>
        </w:rPr>
        <w:t>An example is included below</w:t>
      </w:r>
      <w:r>
        <w:rPr>
          <w:b w:val="0"/>
          <w:bCs w:val="0"/>
          <w:color w:val="ED7D31" w:themeColor="accent2"/>
        </w:rPr>
        <w:t xml:space="preserve"> </w:t>
      </w:r>
    </w:p>
    <w:p w14:paraId="3EC8ED5B" w14:textId="3D467F45" w:rsidR="001D6EAF" w:rsidRDefault="001D6EAF" w:rsidP="00DD1A92">
      <w:pPr>
        <w:pStyle w:val="sub-subsectionheader"/>
        <w:ind w:left="426"/>
        <w:rPr>
          <w:b w:val="0"/>
          <w:bCs w:val="0"/>
          <w:color w:val="ED7D31" w:themeColor="accent2"/>
        </w:rPr>
      </w:pPr>
    </w:p>
    <w:tbl>
      <w:tblPr>
        <w:tblStyle w:val="TableGrid"/>
        <w:tblW w:w="0" w:type="auto"/>
        <w:tblInd w:w="426" w:type="dxa"/>
        <w:tblLook w:val="04A0" w:firstRow="1" w:lastRow="0" w:firstColumn="1" w:lastColumn="0" w:noHBand="0" w:noVBand="1"/>
      </w:tblPr>
      <w:tblGrid>
        <w:gridCol w:w="3015"/>
        <w:gridCol w:w="2941"/>
        <w:gridCol w:w="2968"/>
      </w:tblGrid>
      <w:tr w:rsidR="00A34B97" w14:paraId="3C62FFF7" w14:textId="77777777" w:rsidTr="00A34B97">
        <w:tc>
          <w:tcPr>
            <w:tcW w:w="3015" w:type="dxa"/>
          </w:tcPr>
          <w:p w14:paraId="5FB529A0" w14:textId="3C582711" w:rsidR="00A34B97" w:rsidRDefault="00A34B97" w:rsidP="00DD1A92">
            <w:pPr>
              <w:pStyle w:val="sub-subsectionheader"/>
            </w:pPr>
            <w:r>
              <w:t>Risk Being Addressed:</w:t>
            </w:r>
          </w:p>
        </w:tc>
        <w:tc>
          <w:tcPr>
            <w:tcW w:w="5909" w:type="dxa"/>
            <w:gridSpan w:val="2"/>
          </w:tcPr>
          <w:p w14:paraId="6EE7598A" w14:textId="77777777" w:rsidR="00A34B97" w:rsidRDefault="00A34B97" w:rsidP="00DD1A92">
            <w:pPr>
              <w:pStyle w:val="sub-subsectionheader"/>
            </w:pPr>
          </w:p>
        </w:tc>
      </w:tr>
      <w:tr w:rsidR="00A34B97" w14:paraId="459466B6" w14:textId="77777777" w:rsidTr="00C464E4">
        <w:tc>
          <w:tcPr>
            <w:tcW w:w="3015" w:type="dxa"/>
          </w:tcPr>
          <w:p w14:paraId="3D0271E2" w14:textId="2D23AAFB" w:rsidR="00A34B97" w:rsidRDefault="00A34B97" w:rsidP="00DD1A92">
            <w:pPr>
              <w:pStyle w:val="sub-subsectionheader"/>
            </w:pPr>
            <w:r>
              <w:t>Responsible Stakeholder:</w:t>
            </w:r>
          </w:p>
        </w:tc>
        <w:tc>
          <w:tcPr>
            <w:tcW w:w="5909" w:type="dxa"/>
            <w:gridSpan w:val="2"/>
          </w:tcPr>
          <w:p w14:paraId="6EBC36EF" w14:textId="77777777" w:rsidR="00A34B97" w:rsidRDefault="00A34B97" w:rsidP="00DD1A92">
            <w:pPr>
              <w:pStyle w:val="sub-subsectionheader"/>
            </w:pPr>
          </w:p>
        </w:tc>
      </w:tr>
      <w:tr w:rsidR="00A34B97" w14:paraId="53D16274" w14:textId="77777777" w:rsidTr="008416BE">
        <w:tc>
          <w:tcPr>
            <w:tcW w:w="3015" w:type="dxa"/>
          </w:tcPr>
          <w:p w14:paraId="69351F91" w14:textId="65D48EE0" w:rsidR="00A34B97" w:rsidRDefault="00A34B97" w:rsidP="00DD1A92">
            <w:pPr>
              <w:pStyle w:val="sub-subsectionheader"/>
            </w:pPr>
            <w:r>
              <w:t>Current Response:</w:t>
            </w:r>
          </w:p>
        </w:tc>
        <w:tc>
          <w:tcPr>
            <w:tcW w:w="5909" w:type="dxa"/>
            <w:gridSpan w:val="2"/>
          </w:tcPr>
          <w:p w14:paraId="117F183C" w14:textId="77777777" w:rsidR="00A34B97" w:rsidRDefault="00A34B97" w:rsidP="00DD1A92">
            <w:pPr>
              <w:pStyle w:val="sub-subsectionheader"/>
            </w:pPr>
          </w:p>
        </w:tc>
      </w:tr>
      <w:tr w:rsidR="00A34B97" w14:paraId="5039DC58" w14:textId="77777777" w:rsidTr="00A34B97">
        <w:tc>
          <w:tcPr>
            <w:tcW w:w="3015" w:type="dxa"/>
          </w:tcPr>
          <w:p w14:paraId="22BADFDF" w14:textId="1AED80D5" w:rsidR="00A34B97" w:rsidRDefault="00A34B97" w:rsidP="00DD1A92">
            <w:pPr>
              <w:pStyle w:val="sub-subsectionheader"/>
            </w:pPr>
            <w:r>
              <w:t>Recommendation outlined in Source Assessment</w:t>
            </w:r>
          </w:p>
        </w:tc>
        <w:tc>
          <w:tcPr>
            <w:tcW w:w="2941" w:type="dxa"/>
          </w:tcPr>
          <w:p w14:paraId="762B3EC8" w14:textId="0884C0EF" w:rsidR="00A34B97" w:rsidRDefault="00A34B97" w:rsidP="00DD1A92">
            <w:pPr>
              <w:pStyle w:val="sub-subsectionheader"/>
            </w:pPr>
            <w:r>
              <w:t>Specific Actions to Reduce Hazard</w:t>
            </w:r>
          </w:p>
        </w:tc>
        <w:tc>
          <w:tcPr>
            <w:tcW w:w="2968" w:type="dxa"/>
          </w:tcPr>
          <w:p w14:paraId="74147783" w14:textId="79F38E21" w:rsidR="00A34B97" w:rsidRDefault="00A34B97" w:rsidP="00DD1A92">
            <w:pPr>
              <w:pStyle w:val="sub-subsectionheader"/>
            </w:pPr>
            <w:r>
              <w:t>Anticipated Timeline and Cost</w:t>
            </w:r>
          </w:p>
        </w:tc>
      </w:tr>
      <w:tr w:rsidR="00A34B97" w14:paraId="49CE816B" w14:textId="77777777" w:rsidTr="00A34B97">
        <w:tc>
          <w:tcPr>
            <w:tcW w:w="3015" w:type="dxa"/>
          </w:tcPr>
          <w:p w14:paraId="56C6EA45" w14:textId="77777777" w:rsidR="00A34B97" w:rsidRDefault="00A34B97" w:rsidP="00DD1A92">
            <w:pPr>
              <w:pStyle w:val="sub-subsectionheader"/>
            </w:pPr>
          </w:p>
        </w:tc>
        <w:tc>
          <w:tcPr>
            <w:tcW w:w="2941" w:type="dxa"/>
          </w:tcPr>
          <w:p w14:paraId="28162BCA" w14:textId="77777777" w:rsidR="00A34B97" w:rsidRDefault="00A34B97" w:rsidP="00DD1A92">
            <w:pPr>
              <w:pStyle w:val="sub-subsectionheader"/>
            </w:pPr>
          </w:p>
        </w:tc>
        <w:tc>
          <w:tcPr>
            <w:tcW w:w="2968" w:type="dxa"/>
          </w:tcPr>
          <w:p w14:paraId="759AAC3C" w14:textId="77777777" w:rsidR="00A34B97" w:rsidRDefault="00A34B97" w:rsidP="00DD1A92">
            <w:pPr>
              <w:pStyle w:val="sub-subsectionheader"/>
            </w:pPr>
          </w:p>
        </w:tc>
      </w:tr>
      <w:tr w:rsidR="00A34B97" w14:paraId="2F862557" w14:textId="77777777" w:rsidTr="00A34B97">
        <w:tc>
          <w:tcPr>
            <w:tcW w:w="3015" w:type="dxa"/>
          </w:tcPr>
          <w:p w14:paraId="3797CF4F" w14:textId="77777777" w:rsidR="00A34B97" w:rsidRDefault="00A34B97" w:rsidP="00DD1A92">
            <w:pPr>
              <w:pStyle w:val="sub-subsectionheader"/>
            </w:pPr>
          </w:p>
        </w:tc>
        <w:tc>
          <w:tcPr>
            <w:tcW w:w="2941" w:type="dxa"/>
          </w:tcPr>
          <w:p w14:paraId="55F8E842" w14:textId="77777777" w:rsidR="00A34B97" w:rsidRDefault="00A34B97" w:rsidP="00DD1A92">
            <w:pPr>
              <w:pStyle w:val="sub-subsectionheader"/>
            </w:pPr>
          </w:p>
        </w:tc>
        <w:tc>
          <w:tcPr>
            <w:tcW w:w="2968" w:type="dxa"/>
          </w:tcPr>
          <w:p w14:paraId="48F30EA8" w14:textId="77777777" w:rsidR="00A34B97" w:rsidRDefault="00A34B97" w:rsidP="00DD1A92">
            <w:pPr>
              <w:pStyle w:val="sub-subsectionheader"/>
            </w:pPr>
          </w:p>
        </w:tc>
      </w:tr>
      <w:tr w:rsidR="00A34B97" w14:paraId="09EE9530" w14:textId="77777777" w:rsidTr="00A34B97">
        <w:tc>
          <w:tcPr>
            <w:tcW w:w="3015" w:type="dxa"/>
          </w:tcPr>
          <w:p w14:paraId="177C42B6" w14:textId="77777777" w:rsidR="00A34B97" w:rsidRDefault="00A34B97" w:rsidP="00DD1A92">
            <w:pPr>
              <w:pStyle w:val="sub-subsectionheader"/>
            </w:pPr>
          </w:p>
        </w:tc>
        <w:tc>
          <w:tcPr>
            <w:tcW w:w="2941" w:type="dxa"/>
          </w:tcPr>
          <w:p w14:paraId="1517F23F" w14:textId="77777777" w:rsidR="00A34B97" w:rsidRDefault="00A34B97" w:rsidP="00DD1A92">
            <w:pPr>
              <w:pStyle w:val="sub-subsectionheader"/>
            </w:pPr>
          </w:p>
        </w:tc>
        <w:tc>
          <w:tcPr>
            <w:tcW w:w="2968" w:type="dxa"/>
          </w:tcPr>
          <w:p w14:paraId="52B52238" w14:textId="77777777" w:rsidR="00A34B97" w:rsidRDefault="00A34B97" w:rsidP="00DD1A92">
            <w:pPr>
              <w:pStyle w:val="sub-subsectionheader"/>
            </w:pPr>
          </w:p>
        </w:tc>
      </w:tr>
      <w:tr w:rsidR="00A34B97" w14:paraId="4BC7D2A2" w14:textId="77777777" w:rsidTr="00A34B97">
        <w:tc>
          <w:tcPr>
            <w:tcW w:w="3015" w:type="dxa"/>
          </w:tcPr>
          <w:p w14:paraId="1247B706" w14:textId="77777777" w:rsidR="00A34B97" w:rsidRDefault="00A34B97" w:rsidP="00DD1A92">
            <w:pPr>
              <w:pStyle w:val="sub-subsectionheader"/>
            </w:pPr>
          </w:p>
        </w:tc>
        <w:tc>
          <w:tcPr>
            <w:tcW w:w="2941" w:type="dxa"/>
          </w:tcPr>
          <w:p w14:paraId="644509CA" w14:textId="77777777" w:rsidR="00A34B97" w:rsidRDefault="00A34B97" w:rsidP="00DD1A92">
            <w:pPr>
              <w:pStyle w:val="sub-subsectionheader"/>
            </w:pPr>
          </w:p>
        </w:tc>
        <w:tc>
          <w:tcPr>
            <w:tcW w:w="2968" w:type="dxa"/>
          </w:tcPr>
          <w:p w14:paraId="47957575" w14:textId="77777777" w:rsidR="00A34B97" w:rsidRDefault="00A34B97" w:rsidP="00DD1A92">
            <w:pPr>
              <w:pStyle w:val="sub-subsectionheader"/>
            </w:pPr>
          </w:p>
        </w:tc>
      </w:tr>
    </w:tbl>
    <w:p w14:paraId="548D5FAB" w14:textId="77777777" w:rsidR="001D6EAF" w:rsidRDefault="001D6EAF" w:rsidP="00DD1A92">
      <w:pPr>
        <w:pStyle w:val="sub-subsectionheader"/>
        <w:ind w:left="426"/>
      </w:pPr>
    </w:p>
    <w:p w14:paraId="19FFFC93" w14:textId="77777777" w:rsidR="001D6EAF" w:rsidRDefault="001D6EAF" w:rsidP="00DD1A92">
      <w:pPr>
        <w:pStyle w:val="sub-subsectionheader"/>
        <w:ind w:left="426"/>
      </w:pPr>
    </w:p>
    <w:p w14:paraId="5BBD575D" w14:textId="133A19C3" w:rsidR="00DD1A92" w:rsidRDefault="00DD1A92" w:rsidP="00DD1A92">
      <w:pPr>
        <w:pStyle w:val="sub-subsectionheader"/>
        <w:ind w:left="426"/>
      </w:pPr>
      <w:r>
        <w:t>2.2 Stakeholder Responses</w:t>
      </w:r>
    </w:p>
    <w:p w14:paraId="029FBF0D" w14:textId="03CFA5CC" w:rsidR="00A34B97" w:rsidRDefault="00A34B97" w:rsidP="00A34B97">
      <w:pPr>
        <w:pStyle w:val="sub-subsectionheader"/>
        <w:ind w:left="426"/>
        <w:rPr>
          <w:b w:val="0"/>
          <w:bCs w:val="0"/>
          <w:color w:val="ED7D31" w:themeColor="accent2"/>
        </w:rPr>
      </w:pPr>
      <w:r>
        <w:rPr>
          <w:b w:val="0"/>
          <w:bCs w:val="0"/>
          <w:color w:val="ED7D31" w:themeColor="accent2"/>
        </w:rPr>
        <w:t>Include responses here.</w:t>
      </w:r>
    </w:p>
    <w:p w14:paraId="2CA079CA" w14:textId="4D1DDCB7" w:rsidR="00DD1A92" w:rsidRDefault="00DD1A92" w:rsidP="00BB3DE7"/>
    <w:p w14:paraId="2DEE119E" w14:textId="042EB362" w:rsidR="00A34B97" w:rsidRDefault="00A34B97" w:rsidP="00A34B97">
      <w:pPr>
        <w:pStyle w:val="Heading1"/>
      </w:pPr>
      <w:r>
        <w:t>3.0 Response Plan</w:t>
      </w:r>
    </w:p>
    <w:p w14:paraId="54AE9120" w14:textId="1EE286F7" w:rsidR="00A34B97" w:rsidRDefault="00A34B97" w:rsidP="00A34B97">
      <w:pPr>
        <w:pStyle w:val="sub-subsectionheader"/>
        <w:ind w:left="426"/>
        <w:rPr>
          <w:b w:val="0"/>
          <w:bCs w:val="0"/>
          <w:color w:val="ED7D31" w:themeColor="accent2"/>
        </w:rPr>
      </w:pPr>
      <w:r>
        <w:rPr>
          <w:b w:val="0"/>
          <w:bCs w:val="0"/>
          <w:color w:val="ED7D31" w:themeColor="accent2"/>
        </w:rPr>
        <w:t xml:space="preserve">Reference the Excel document that houses the Response Plan and include a link if appropriate. </w:t>
      </w:r>
    </w:p>
    <w:p w14:paraId="40A60DCE" w14:textId="77777777" w:rsidR="00A34B97" w:rsidRDefault="00A34B97" w:rsidP="00BB3DE7"/>
    <w:p w14:paraId="355F65B8" w14:textId="655BD424" w:rsidR="00DD1A92" w:rsidRDefault="00A34B97" w:rsidP="00DD1A92">
      <w:pPr>
        <w:pStyle w:val="Heading1"/>
      </w:pPr>
      <w:r>
        <w:t>4</w:t>
      </w:r>
      <w:r w:rsidR="00DD1A92">
        <w:t>.0 Recommended Implementation of the Response Plan</w:t>
      </w:r>
    </w:p>
    <w:p w14:paraId="74736468" w14:textId="7CE14A2E" w:rsidR="00CC42FD" w:rsidRPr="00CC42FD" w:rsidRDefault="00CC42FD" w:rsidP="00CC42FD">
      <w:pPr>
        <w:pStyle w:val="NoSpacing"/>
        <w:rPr>
          <w:color w:val="ED7D31" w:themeColor="accent2"/>
        </w:rPr>
      </w:pPr>
      <w:r>
        <w:rPr>
          <w:color w:val="ED7D31" w:themeColor="accent2"/>
        </w:rPr>
        <w:t xml:space="preserve">Provide a flow chart that shows the sequence of events for implementation of the Response Plan. Describe the meeting schedule for the Technical Committee and the annual updates to the Response Plan. Include a 5-year update to the Source Water Assessment. </w:t>
      </w:r>
    </w:p>
    <w:bookmarkEnd w:id="44"/>
    <w:p w14:paraId="7F90E378" w14:textId="615CB0A6" w:rsidR="00CC42FD" w:rsidRDefault="00CC42FD" w:rsidP="00CC42FD"/>
    <w:p w14:paraId="429A593F" w14:textId="4F4298D9" w:rsidR="00A34B97" w:rsidRPr="005914C1" w:rsidRDefault="00A34B97" w:rsidP="00A34B97">
      <w:pPr>
        <w:pStyle w:val="SectionHeader"/>
        <w:rPr>
          <w:lang w:val="en-CA"/>
        </w:rPr>
      </w:pPr>
      <w:r>
        <w:t>References</w:t>
      </w:r>
    </w:p>
    <w:p w14:paraId="365EAE7D" w14:textId="77777777" w:rsidR="00A34B97" w:rsidRPr="00F25C06" w:rsidRDefault="00A34B97" w:rsidP="00A34B97">
      <w:pPr>
        <w:spacing w:after="160" w:line="259" w:lineRule="auto"/>
        <w:rPr>
          <w:rFonts w:cs="Arial"/>
          <w:color w:val="808080"/>
          <w:szCs w:val="22"/>
        </w:rPr>
      </w:pPr>
    </w:p>
    <w:p w14:paraId="3BF1B430" w14:textId="47719FEA" w:rsidR="00A34B97" w:rsidRPr="00CC42FD" w:rsidRDefault="00A34B97" w:rsidP="00A34B97">
      <w:pPr>
        <w:pStyle w:val="Heading1"/>
        <w:ind w:left="-426"/>
      </w:pPr>
      <w:r>
        <w:t xml:space="preserve">Appendices </w:t>
      </w:r>
    </w:p>
    <w:sectPr w:rsidR="00A34B97" w:rsidRPr="00CC42FD" w:rsidSect="003A03E3">
      <w:headerReference w:type="even"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B72A" w14:textId="77777777" w:rsidR="009C6E92" w:rsidRDefault="009C6E92" w:rsidP="00E47020">
      <w:r>
        <w:separator/>
      </w:r>
    </w:p>
  </w:endnote>
  <w:endnote w:type="continuationSeparator" w:id="0">
    <w:p w14:paraId="34E407E3" w14:textId="77777777" w:rsidR="009C6E92" w:rsidRDefault="009C6E92" w:rsidP="00E4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6169" w14:textId="77777777" w:rsidR="009C6E92" w:rsidRDefault="009C6E92" w:rsidP="00E47020">
      <w:r>
        <w:separator/>
      </w:r>
    </w:p>
  </w:footnote>
  <w:footnote w:type="continuationSeparator" w:id="0">
    <w:p w14:paraId="4FCC5E96" w14:textId="77777777" w:rsidR="009C6E92" w:rsidRDefault="009C6E92" w:rsidP="00E4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0B9B" w14:textId="05B4C0D2" w:rsidR="007A0E1B" w:rsidRDefault="004E0BA2">
    <w:pPr>
      <w:pStyle w:val="Header"/>
    </w:pPr>
    <w:r>
      <w:rPr>
        <w:noProof/>
      </w:rPr>
      <w:pict w14:anchorId="25876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98.35pt;height:110.7pt;rotation:315;z-index:-251648512;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BB24" w14:textId="7CF2B272" w:rsidR="007A0E1B" w:rsidRDefault="004E0BA2">
    <w:pPr>
      <w:pStyle w:val="Header"/>
    </w:pPr>
    <w:r>
      <w:rPr>
        <w:noProof/>
      </w:rPr>
      <w:pict w14:anchorId="1BA76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98.35pt;height:110.7pt;rotation:315;z-index:-251650560;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98E"/>
    <w:multiLevelType w:val="hybridMultilevel"/>
    <w:tmpl w:val="ECA2B50E"/>
    <w:lvl w:ilvl="0" w:tplc="19E240B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952AD0"/>
    <w:multiLevelType w:val="multilevel"/>
    <w:tmpl w:val="6A4C3E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4068FA"/>
    <w:multiLevelType w:val="hybridMultilevel"/>
    <w:tmpl w:val="51161E6C"/>
    <w:lvl w:ilvl="0" w:tplc="513CEE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9F1654"/>
    <w:multiLevelType w:val="hybridMultilevel"/>
    <w:tmpl w:val="80189120"/>
    <w:lvl w:ilvl="0" w:tplc="2D7EC89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6647D6"/>
    <w:multiLevelType w:val="hybridMultilevel"/>
    <w:tmpl w:val="1D54658C"/>
    <w:lvl w:ilvl="0" w:tplc="2D7EC896">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BA"/>
    <w:rsid w:val="00001311"/>
    <w:rsid w:val="00001EF6"/>
    <w:rsid w:val="0000572A"/>
    <w:rsid w:val="00007628"/>
    <w:rsid w:val="000119A2"/>
    <w:rsid w:val="00011EE4"/>
    <w:rsid w:val="0001304B"/>
    <w:rsid w:val="00021E84"/>
    <w:rsid w:val="00021F50"/>
    <w:rsid w:val="00022B88"/>
    <w:rsid w:val="00024981"/>
    <w:rsid w:val="00025687"/>
    <w:rsid w:val="00025A47"/>
    <w:rsid w:val="00025F28"/>
    <w:rsid w:val="00026A51"/>
    <w:rsid w:val="000273ED"/>
    <w:rsid w:val="00027684"/>
    <w:rsid w:val="000304B6"/>
    <w:rsid w:val="000349B5"/>
    <w:rsid w:val="00040DF6"/>
    <w:rsid w:val="00040FA0"/>
    <w:rsid w:val="00044D21"/>
    <w:rsid w:val="000453CD"/>
    <w:rsid w:val="00045CB8"/>
    <w:rsid w:val="00047B5C"/>
    <w:rsid w:val="000506FD"/>
    <w:rsid w:val="00053F85"/>
    <w:rsid w:val="0006036F"/>
    <w:rsid w:val="000607B6"/>
    <w:rsid w:val="00061409"/>
    <w:rsid w:val="00061964"/>
    <w:rsid w:val="000629F9"/>
    <w:rsid w:val="00063661"/>
    <w:rsid w:val="000667D1"/>
    <w:rsid w:val="0007026A"/>
    <w:rsid w:val="00073F43"/>
    <w:rsid w:val="00074BF6"/>
    <w:rsid w:val="00074E0F"/>
    <w:rsid w:val="00074E18"/>
    <w:rsid w:val="00075853"/>
    <w:rsid w:val="00075E08"/>
    <w:rsid w:val="00081A8A"/>
    <w:rsid w:val="0008241F"/>
    <w:rsid w:val="00085D33"/>
    <w:rsid w:val="00085EDB"/>
    <w:rsid w:val="000861D4"/>
    <w:rsid w:val="00092BC8"/>
    <w:rsid w:val="00093700"/>
    <w:rsid w:val="000A11E7"/>
    <w:rsid w:val="000A39A6"/>
    <w:rsid w:val="000A5607"/>
    <w:rsid w:val="000A58BA"/>
    <w:rsid w:val="000A6BFA"/>
    <w:rsid w:val="000B0FB9"/>
    <w:rsid w:val="000B1A89"/>
    <w:rsid w:val="000B2622"/>
    <w:rsid w:val="000B501F"/>
    <w:rsid w:val="000B7996"/>
    <w:rsid w:val="000B79EA"/>
    <w:rsid w:val="000C1081"/>
    <w:rsid w:val="000C3787"/>
    <w:rsid w:val="000C5F41"/>
    <w:rsid w:val="000C6F96"/>
    <w:rsid w:val="000C7475"/>
    <w:rsid w:val="000D0846"/>
    <w:rsid w:val="000D5241"/>
    <w:rsid w:val="000D5A98"/>
    <w:rsid w:val="000D70B9"/>
    <w:rsid w:val="000D782F"/>
    <w:rsid w:val="000D7CF0"/>
    <w:rsid w:val="000E01ED"/>
    <w:rsid w:val="000E3268"/>
    <w:rsid w:val="000E39CD"/>
    <w:rsid w:val="000E7F52"/>
    <w:rsid w:val="000F5219"/>
    <w:rsid w:val="000F52CF"/>
    <w:rsid w:val="000F68C2"/>
    <w:rsid w:val="000F774A"/>
    <w:rsid w:val="00103F7F"/>
    <w:rsid w:val="00111C8D"/>
    <w:rsid w:val="001206EC"/>
    <w:rsid w:val="001236EB"/>
    <w:rsid w:val="00123FC6"/>
    <w:rsid w:val="00126C77"/>
    <w:rsid w:val="00126E5A"/>
    <w:rsid w:val="001274FE"/>
    <w:rsid w:val="00130655"/>
    <w:rsid w:val="00130AE7"/>
    <w:rsid w:val="00131C70"/>
    <w:rsid w:val="001359A1"/>
    <w:rsid w:val="00135A1E"/>
    <w:rsid w:val="00135AA8"/>
    <w:rsid w:val="00137292"/>
    <w:rsid w:val="00137D95"/>
    <w:rsid w:val="00145041"/>
    <w:rsid w:val="001459F0"/>
    <w:rsid w:val="00152A7B"/>
    <w:rsid w:val="001542FD"/>
    <w:rsid w:val="0016028F"/>
    <w:rsid w:val="0016042C"/>
    <w:rsid w:val="001614FA"/>
    <w:rsid w:val="00161AC4"/>
    <w:rsid w:val="00161DE3"/>
    <w:rsid w:val="00164747"/>
    <w:rsid w:val="0016549D"/>
    <w:rsid w:val="00165610"/>
    <w:rsid w:val="00173722"/>
    <w:rsid w:val="00173E34"/>
    <w:rsid w:val="00175425"/>
    <w:rsid w:val="001754AA"/>
    <w:rsid w:val="0018074D"/>
    <w:rsid w:val="00183349"/>
    <w:rsid w:val="001833D0"/>
    <w:rsid w:val="00183F64"/>
    <w:rsid w:val="001858AA"/>
    <w:rsid w:val="0018724F"/>
    <w:rsid w:val="001876A6"/>
    <w:rsid w:val="00193369"/>
    <w:rsid w:val="001973A3"/>
    <w:rsid w:val="001A1DF3"/>
    <w:rsid w:val="001A2924"/>
    <w:rsid w:val="001A3035"/>
    <w:rsid w:val="001A3653"/>
    <w:rsid w:val="001A4D84"/>
    <w:rsid w:val="001A5751"/>
    <w:rsid w:val="001B08C9"/>
    <w:rsid w:val="001B23DA"/>
    <w:rsid w:val="001B426D"/>
    <w:rsid w:val="001B586E"/>
    <w:rsid w:val="001C0BBB"/>
    <w:rsid w:val="001C46E6"/>
    <w:rsid w:val="001D0968"/>
    <w:rsid w:val="001D09FD"/>
    <w:rsid w:val="001D6D4A"/>
    <w:rsid w:val="001D6EAF"/>
    <w:rsid w:val="001D7A23"/>
    <w:rsid w:val="001D7A27"/>
    <w:rsid w:val="001D7CE1"/>
    <w:rsid w:val="001E0364"/>
    <w:rsid w:val="001E266C"/>
    <w:rsid w:val="001F274E"/>
    <w:rsid w:val="001F47F6"/>
    <w:rsid w:val="001F69EC"/>
    <w:rsid w:val="001F745B"/>
    <w:rsid w:val="001F7D10"/>
    <w:rsid w:val="00201D07"/>
    <w:rsid w:val="00204AB9"/>
    <w:rsid w:val="00204F2D"/>
    <w:rsid w:val="00205E2A"/>
    <w:rsid w:val="00206836"/>
    <w:rsid w:val="00207DC0"/>
    <w:rsid w:val="002103E8"/>
    <w:rsid w:val="002173A3"/>
    <w:rsid w:val="00225505"/>
    <w:rsid w:val="00226BA8"/>
    <w:rsid w:val="00230E9C"/>
    <w:rsid w:val="002314B8"/>
    <w:rsid w:val="002315A8"/>
    <w:rsid w:val="00233029"/>
    <w:rsid w:val="002348AA"/>
    <w:rsid w:val="0023579F"/>
    <w:rsid w:val="002409CB"/>
    <w:rsid w:val="0024242E"/>
    <w:rsid w:val="00245299"/>
    <w:rsid w:val="00247C2D"/>
    <w:rsid w:val="00251F97"/>
    <w:rsid w:val="00252AAC"/>
    <w:rsid w:val="00254808"/>
    <w:rsid w:val="002568BB"/>
    <w:rsid w:val="00263FF6"/>
    <w:rsid w:val="002653CE"/>
    <w:rsid w:val="0026793D"/>
    <w:rsid w:val="002779C6"/>
    <w:rsid w:val="00280158"/>
    <w:rsid w:val="00283DD3"/>
    <w:rsid w:val="00284DC7"/>
    <w:rsid w:val="0028526E"/>
    <w:rsid w:val="00287BAC"/>
    <w:rsid w:val="00290F60"/>
    <w:rsid w:val="002968C4"/>
    <w:rsid w:val="002972EC"/>
    <w:rsid w:val="002A09C9"/>
    <w:rsid w:val="002A0D2C"/>
    <w:rsid w:val="002A2148"/>
    <w:rsid w:val="002A7FDC"/>
    <w:rsid w:val="002B451D"/>
    <w:rsid w:val="002B652D"/>
    <w:rsid w:val="002C0ACA"/>
    <w:rsid w:val="002C2243"/>
    <w:rsid w:val="002C312C"/>
    <w:rsid w:val="002C5753"/>
    <w:rsid w:val="002D02D9"/>
    <w:rsid w:val="002D0B97"/>
    <w:rsid w:val="002D22AE"/>
    <w:rsid w:val="002D2997"/>
    <w:rsid w:val="002D346E"/>
    <w:rsid w:val="002D395C"/>
    <w:rsid w:val="002D5A29"/>
    <w:rsid w:val="002D5EE9"/>
    <w:rsid w:val="002D7536"/>
    <w:rsid w:val="002E17C4"/>
    <w:rsid w:val="002E4747"/>
    <w:rsid w:val="002E5F3E"/>
    <w:rsid w:val="002F02CC"/>
    <w:rsid w:val="002F495C"/>
    <w:rsid w:val="003019C6"/>
    <w:rsid w:val="0030232D"/>
    <w:rsid w:val="00302AD9"/>
    <w:rsid w:val="00304DE6"/>
    <w:rsid w:val="00305AFC"/>
    <w:rsid w:val="00306611"/>
    <w:rsid w:val="00307D55"/>
    <w:rsid w:val="00313B0A"/>
    <w:rsid w:val="0031686D"/>
    <w:rsid w:val="00321FEB"/>
    <w:rsid w:val="00322F3C"/>
    <w:rsid w:val="00327539"/>
    <w:rsid w:val="00332653"/>
    <w:rsid w:val="00335729"/>
    <w:rsid w:val="00337C20"/>
    <w:rsid w:val="0034016B"/>
    <w:rsid w:val="003410A3"/>
    <w:rsid w:val="0034272E"/>
    <w:rsid w:val="00343D12"/>
    <w:rsid w:val="00346549"/>
    <w:rsid w:val="00346D45"/>
    <w:rsid w:val="0035018C"/>
    <w:rsid w:val="003510B5"/>
    <w:rsid w:val="003605E1"/>
    <w:rsid w:val="00360CAE"/>
    <w:rsid w:val="00361387"/>
    <w:rsid w:val="0036276F"/>
    <w:rsid w:val="00362FDF"/>
    <w:rsid w:val="00363A0F"/>
    <w:rsid w:val="003658B7"/>
    <w:rsid w:val="0036775E"/>
    <w:rsid w:val="003723FF"/>
    <w:rsid w:val="00374545"/>
    <w:rsid w:val="00375276"/>
    <w:rsid w:val="0037599D"/>
    <w:rsid w:val="00376409"/>
    <w:rsid w:val="00381FDB"/>
    <w:rsid w:val="00383234"/>
    <w:rsid w:val="00384308"/>
    <w:rsid w:val="0038462F"/>
    <w:rsid w:val="00384665"/>
    <w:rsid w:val="00384B67"/>
    <w:rsid w:val="00387CD0"/>
    <w:rsid w:val="00387FE5"/>
    <w:rsid w:val="00391231"/>
    <w:rsid w:val="003925EC"/>
    <w:rsid w:val="0039447B"/>
    <w:rsid w:val="00395F89"/>
    <w:rsid w:val="0039707F"/>
    <w:rsid w:val="00397AB1"/>
    <w:rsid w:val="003A02DD"/>
    <w:rsid w:val="003A03E3"/>
    <w:rsid w:val="003A78DF"/>
    <w:rsid w:val="003B07F2"/>
    <w:rsid w:val="003B08C1"/>
    <w:rsid w:val="003B0CBF"/>
    <w:rsid w:val="003B1DC6"/>
    <w:rsid w:val="003B26F2"/>
    <w:rsid w:val="003B5A37"/>
    <w:rsid w:val="003B5D69"/>
    <w:rsid w:val="003B5DBC"/>
    <w:rsid w:val="003B60CB"/>
    <w:rsid w:val="003C0107"/>
    <w:rsid w:val="003C4FB8"/>
    <w:rsid w:val="003C792B"/>
    <w:rsid w:val="003D4967"/>
    <w:rsid w:val="003D675A"/>
    <w:rsid w:val="003E1D1B"/>
    <w:rsid w:val="003E489C"/>
    <w:rsid w:val="003E5833"/>
    <w:rsid w:val="003F0561"/>
    <w:rsid w:val="003F1AE3"/>
    <w:rsid w:val="003F2D64"/>
    <w:rsid w:val="003F3E8C"/>
    <w:rsid w:val="003F61D5"/>
    <w:rsid w:val="003F6ACA"/>
    <w:rsid w:val="003F6B50"/>
    <w:rsid w:val="00401508"/>
    <w:rsid w:val="004036BC"/>
    <w:rsid w:val="004074BC"/>
    <w:rsid w:val="00407E68"/>
    <w:rsid w:val="004128FF"/>
    <w:rsid w:val="00426DDC"/>
    <w:rsid w:val="00431967"/>
    <w:rsid w:val="00433526"/>
    <w:rsid w:val="0043469F"/>
    <w:rsid w:val="004357E6"/>
    <w:rsid w:val="00436AA8"/>
    <w:rsid w:val="0043711C"/>
    <w:rsid w:val="00450855"/>
    <w:rsid w:val="00455947"/>
    <w:rsid w:val="0045704D"/>
    <w:rsid w:val="004577AC"/>
    <w:rsid w:val="00462B7E"/>
    <w:rsid w:val="00466D5E"/>
    <w:rsid w:val="00467F97"/>
    <w:rsid w:val="00470077"/>
    <w:rsid w:val="00470241"/>
    <w:rsid w:val="00473D42"/>
    <w:rsid w:val="004777A9"/>
    <w:rsid w:val="00477BE9"/>
    <w:rsid w:val="00482320"/>
    <w:rsid w:val="004844F7"/>
    <w:rsid w:val="00492ACB"/>
    <w:rsid w:val="0049371F"/>
    <w:rsid w:val="0049499F"/>
    <w:rsid w:val="00494AC6"/>
    <w:rsid w:val="00497C58"/>
    <w:rsid w:val="004A0482"/>
    <w:rsid w:val="004A511F"/>
    <w:rsid w:val="004B0696"/>
    <w:rsid w:val="004B1C5E"/>
    <w:rsid w:val="004B2CF9"/>
    <w:rsid w:val="004B4BB5"/>
    <w:rsid w:val="004B5316"/>
    <w:rsid w:val="004B5C48"/>
    <w:rsid w:val="004C0531"/>
    <w:rsid w:val="004C20A7"/>
    <w:rsid w:val="004C48CF"/>
    <w:rsid w:val="004D3ADE"/>
    <w:rsid w:val="004D4060"/>
    <w:rsid w:val="004D79FA"/>
    <w:rsid w:val="004E0BA2"/>
    <w:rsid w:val="004E0F97"/>
    <w:rsid w:val="004E1B58"/>
    <w:rsid w:val="004E1C2F"/>
    <w:rsid w:val="004E2313"/>
    <w:rsid w:val="004E559C"/>
    <w:rsid w:val="004F2ADA"/>
    <w:rsid w:val="004F42B3"/>
    <w:rsid w:val="004F77F2"/>
    <w:rsid w:val="00500431"/>
    <w:rsid w:val="00503A0B"/>
    <w:rsid w:val="00504BC6"/>
    <w:rsid w:val="00510C26"/>
    <w:rsid w:val="00510DAC"/>
    <w:rsid w:val="00513094"/>
    <w:rsid w:val="005145CF"/>
    <w:rsid w:val="005146AE"/>
    <w:rsid w:val="00516967"/>
    <w:rsid w:val="00517396"/>
    <w:rsid w:val="00520F07"/>
    <w:rsid w:val="005213D1"/>
    <w:rsid w:val="005271BD"/>
    <w:rsid w:val="0053439A"/>
    <w:rsid w:val="00536052"/>
    <w:rsid w:val="00536C61"/>
    <w:rsid w:val="00536DC0"/>
    <w:rsid w:val="005378E8"/>
    <w:rsid w:val="00541AFF"/>
    <w:rsid w:val="00542548"/>
    <w:rsid w:val="00544236"/>
    <w:rsid w:val="00545631"/>
    <w:rsid w:val="0054586F"/>
    <w:rsid w:val="00550C52"/>
    <w:rsid w:val="00552B5C"/>
    <w:rsid w:val="005538B9"/>
    <w:rsid w:val="00553CC0"/>
    <w:rsid w:val="005545B5"/>
    <w:rsid w:val="0055534A"/>
    <w:rsid w:val="00555E5D"/>
    <w:rsid w:val="0055635A"/>
    <w:rsid w:val="005564E6"/>
    <w:rsid w:val="00566AD8"/>
    <w:rsid w:val="005677D9"/>
    <w:rsid w:val="00570862"/>
    <w:rsid w:val="00570918"/>
    <w:rsid w:val="00577C8C"/>
    <w:rsid w:val="005824EE"/>
    <w:rsid w:val="005829E6"/>
    <w:rsid w:val="00582A32"/>
    <w:rsid w:val="005863D3"/>
    <w:rsid w:val="005908CA"/>
    <w:rsid w:val="00591213"/>
    <w:rsid w:val="005914C1"/>
    <w:rsid w:val="0059221F"/>
    <w:rsid w:val="00597790"/>
    <w:rsid w:val="005A1AAD"/>
    <w:rsid w:val="005A2919"/>
    <w:rsid w:val="005A3FCF"/>
    <w:rsid w:val="005B00E1"/>
    <w:rsid w:val="005B05F2"/>
    <w:rsid w:val="005B1B41"/>
    <w:rsid w:val="005B3331"/>
    <w:rsid w:val="005B362E"/>
    <w:rsid w:val="005B5222"/>
    <w:rsid w:val="005B569C"/>
    <w:rsid w:val="005B6EAE"/>
    <w:rsid w:val="005B724E"/>
    <w:rsid w:val="005C0FE7"/>
    <w:rsid w:val="005C26C5"/>
    <w:rsid w:val="005C50D3"/>
    <w:rsid w:val="005D0E61"/>
    <w:rsid w:val="005D6DA3"/>
    <w:rsid w:val="005D74D4"/>
    <w:rsid w:val="005E069A"/>
    <w:rsid w:val="005E19B5"/>
    <w:rsid w:val="005F0AFA"/>
    <w:rsid w:val="005F1427"/>
    <w:rsid w:val="005F38CA"/>
    <w:rsid w:val="005F3F80"/>
    <w:rsid w:val="005F42D6"/>
    <w:rsid w:val="005F5217"/>
    <w:rsid w:val="005F6CFE"/>
    <w:rsid w:val="0060014A"/>
    <w:rsid w:val="00603E52"/>
    <w:rsid w:val="006059FF"/>
    <w:rsid w:val="00606DD5"/>
    <w:rsid w:val="00611505"/>
    <w:rsid w:val="00616E98"/>
    <w:rsid w:val="0061799E"/>
    <w:rsid w:val="00620534"/>
    <w:rsid w:val="00621137"/>
    <w:rsid w:val="00623CCD"/>
    <w:rsid w:val="00623EC8"/>
    <w:rsid w:val="00623EEA"/>
    <w:rsid w:val="006254B5"/>
    <w:rsid w:val="006255E9"/>
    <w:rsid w:val="00625757"/>
    <w:rsid w:val="0062612A"/>
    <w:rsid w:val="00632EEA"/>
    <w:rsid w:val="00633C86"/>
    <w:rsid w:val="00633CC4"/>
    <w:rsid w:val="0063423D"/>
    <w:rsid w:val="00635D7B"/>
    <w:rsid w:val="00636685"/>
    <w:rsid w:val="006372E3"/>
    <w:rsid w:val="006426D4"/>
    <w:rsid w:val="00642E4B"/>
    <w:rsid w:val="00645150"/>
    <w:rsid w:val="00646F59"/>
    <w:rsid w:val="006503CE"/>
    <w:rsid w:val="0065430B"/>
    <w:rsid w:val="00656A2B"/>
    <w:rsid w:val="00657E7E"/>
    <w:rsid w:val="00661A68"/>
    <w:rsid w:val="00662385"/>
    <w:rsid w:val="00662B5A"/>
    <w:rsid w:val="00663DF9"/>
    <w:rsid w:val="00667558"/>
    <w:rsid w:val="006707E6"/>
    <w:rsid w:val="00672163"/>
    <w:rsid w:val="006735EC"/>
    <w:rsid w:val="0067475E"/>
    <w:rsid w:val="006765F8"/>
    <w:rsid w:val="00682335"/>
    <w:rsid w:val="00683658"/>
    <w:rsid w:val="00684309"/>
    <w:rsid w:val="00693C9A"/>
    <w:rsid w:val="006952CB"/>
    <w:rsid w:val="00697630"/>
    <w:rsid w:val="006A4310"/>
    <w:rsid w:val="006A4D3A"/>
    <w:rsid w:val="006A52FB"/>
    <w:rsid w:val="006A7B9C"/>
    <w:rsid w:val="006B2694"/>
    <w:rsid w:val="006B57F6"/>
    <w:rsid w:val="006B6AB6"/>
    <w:rsid w:val="006B6B20"/>
    <w:rsid w:val="006B7944"/>
    <w:rsid w:val="006C2402"/>
    <w:rsid w:val="006C26A9"/>
    <w:rsid w:val="006C2F13"/>
    <w:rsid w:val="006C3A05"/>
    <w:rsid w:val="006C55BF"/>
    <w:rsid w:val="006C56AB"/>
    <w:rsid w:val="006C782D"/>
    <w:rsid w:val="006C7C9A"/>
    <w:rsid w:val="006D081E"/>
    <w:rsid w:val="006D1285"/>
    <w:rsid w:val="006D17CC"/>
    <w:rsid w:val="006D4650"/>
    <w:rsid w:val="006D594E"/>
    <w:rsid w:val="006D5EF2"/>
    <w:rsid w:val="006E19B0"/>
    <w:rsid w:val="006E3353"/>
    <w:rsid w:val="006F18C2"/>
    <w:rsid w:val="006F3086"/>
    <w:rsid w:val="006F3810"/>
    <w:rsid w:val="006F4D6D"/>
    <w:rsid w:val="006F6134"/>
    <w:rsid w:val="0070095C"/>
    <w:rsid w:val="00702649"/>
    <w:rsid w:val="00704F1B"/>
    <w:rsid w:val="00706F26"/>
    <w:rsid w:val="0071194C"/>
    <w:rsid w:val="00717E69"/>
    <w:rsid w:val="007206F6"/>
    <w:rsid w:val="007222F0"/>
    <w:rsid w:val="00722B4E"/>
    <w:rsid w:val="0072487C"/>
    <w:rsid w:val="007260DE"/>
    <w:rsid w:val="00726865"/>
    <w:rsid w:val="007272F1"/>
    <w:rsid w:val="0073312A"/>
    <w:rsid w:val="00733CF9"/>
    <w:rsid w:val="007342B2"/>
    <w:rsid w:val="00734A0D"/>
    <w:rsid w:val="00740960"/>
    <w:rsid w:val="0074530F"/>
    <w:rsid w:val="00745F1E"/>
    <w:rsid w:val="0074780F"/>
    <w:rsid w:val="00750353"/>
    <w:rsid w:val="00752902"/>
    <w:rsid w:val="00752F09"/>
    <w:rsid w:val="00761284"/>
    <w:rsid w:val="00764ABC"/>
    <w:rsid w:val="007655AF"/>
    <w:rsid w:val="00771CDD"/>
    <w:rsid w:val="007755A8"/>
    <w:rsid w:val="00775E61"/>
    <w:rsid w:val="007778AA"/>
    <w:rsid w:val="00785E8D"/>
    <w:rsid w:val="00786316"/>
    <w:rsid w:val="00787776"/>
    <w:rsid w:val="00787DE6"/>
    <w:rsid w:val="0079175B"/>
    <w:rsid w:val="00796185"/>
    <w:rsid w:val="00796197"/>
    <w:rsid w:val="00797A15"/>
    <w:rsid w:val="007A0E1B"/>
    <w:rsid w:val="007A0F68"/>
    <w:rsid w:val="007A4303"/>
    <w:rsid w:val="007A512C"/>
    <w:rsid w:val="007B04AA"/>
    <w:rsid w:val="007B540F"/>
    <w:rsid w:val="007B5D9D"/>
    <w:rsid w:val="007B61AA"/>
    <w:rsid w:val="007C2853"/>
    <w:rsid w:val="007C435E"/>
    <w:rsid w:val="007C50FD"/>
    <w:rsid w:val="007C7682"/>
    <w:rsid w:val="007D0CA0"/>
    <w:rsid w:val="007D1AAD"/>
    <w:rsid w:val="007D439F"/>
    <w:rsid w:val="007D49A4"/>
    <w:rsid w:val="007E15F8"/>
    <w:rsid w:val="007E4F4D"/>
    <w:rsid w:val="007E7601"/>
    <w:rsid w:val="007E7661"/>
    <w:rsid w:val="007E7D93"/>
    <w:rsid w:val="007F1F5E"/>
    <w:rsid w:val="007F7DD9"/>
    <w:rsid w:val="007F7FE8"/>
    <w:rsid w:val="008007BB"/>
    <w:rsid w:val="008043EC"/>
    <w:rsid w:val="00804EFD"/>
    <w:rsid w:val="00816E5E"/>
    <w:rsid w:val="00820EF6"/>
    <w:rsid w:val="00822FCA"/>
    <w:rsid w:val="008234B6"/>
    <w:rsid w:val="008329F4"/>
    <w:rsid w:val="0083320F"/>
    <w:rsid w:val="00833298"/>
    <w:rsid w:val="00834291"/>
    <w:rsid w:val="00835C4F"/>
    <w:rsid w:val="008360DF"/>
    <w:rsid w:val="00841C2A"/>
    <w:rsid w:val="00842950"/>
    <w:rsid w:val="00845870"/>
    <w:rsid w:val="00851C96"/>
    <w:rsid w:val="0085214F"/>
    <w:rsid w:val="0085594B"/>
    <w:rsid w:val="00856611"/>
    <w:rsid w:val="00857AF3"/>
    <w:rsid w:val="00857B57"/>
    <w:rsid w:val="008608FB"/>
    <w:rsid w:val="00863FC3"/>
    <w:rsid w:val="008676A2"/>
    <w:rsid w:val="00870C58"/>
    <w:rsid w:val="0087520C"/>
    <w:rsid w:val="008770E3"/>
    <w:rsid w:val="00882066"/>
    <w:rsid w:val="00883A14"/>
    <w:rsid w:val="00883B1A"/>
    <w:rsid w:val="00896535"/>
    <w:rsid w:val="008A041F"/>
    <w:rsid w:val="008A397C"/>
    <w:rsid w:val="008A3FF1"/>
    <w:rsid w:val="008A47D9"/>
    <w:rsid w:val="008A4AE0"/>
    <w:rsid w:val="008A6535"/>
    <w:rsid w:val="008B1647"/>
    <w:rsid w:val="008B3829"/>
    <w:rsid w:val="008B7583"/>
    <w:rsid w:val="008C3816"/>
    <w:rsid w:val="008C38C5"/>
    <w:rsid w:val="008C4DF2"/>
    <w:rsid w:val="008C5CBD"/>
    <w:rsid w:val="008E00DA"/>
    <w:rsid w:val="008E1A96"/>
    <w:rsid w:val="008F0166"/>
    <w:rsid w:val="008F3857"/>
    <w:rsid w:val="008F45EB"/>
    <w:rsid w:val="008F62AD"/>
    <w:rsid w:val="008F63C6"/>
    <w:rsid w:val="00904094"/>
    <w:rsid w:val="009068DB"/>
    <w:rsid w:val="00907F9F"/>
    <w:rsid w:val="00911E75"/>
    <w:rsid w:val="0091672B"/>
    <w:rsid w:val="00917CF2"/>
    <w:rsid w:val="0092093E"/>
    <w:rsid w:val="00921A1D"/>
    <w:rsid w:val="00922A99"/>
    <w:rsid w:val="00926B3E"/>
    <w:rsid w:val="009278C7"/>
    <w:rsid w:val="00931423"/>
    <w:rsid w:val="0093271B"/>
    <w:rsid w:val="009331AA"/>
    <w:rsid w:val="00934C0B"/>
    <w:rsid w:val="00936609"/>
    <w:rsid w:val="00937220"/>
    <w:rsid w:val="00937669"/>
    <w:rsid w:val="00937AB8"/>
    <w:rsid w:val="0094144D"/>
    <w:rsid w:val="00941738"/>
    <w:rsid w:val="00941E1E"/>
    <w:rsid w:val="00944BF1"/>
    <w:rsid w:val="00945216"/>
    <w:rsid w:val="00952D6C"/>
    <w:rsid w:val="009535C8"/>
    <w:rsid w:val="00955132"/>
    <w:rsid w:val="009557EE"/>
    <w:rsid w:val="00957084"/>
    <w:rsid w:val="00963277"/>
    <w:rsid w:val="009637FE"/>
    <w:rsid w:val="009641E1"/>
    <w:rsid w:val="0097309E"/>
    <w:rsid w:val="0097410D"/>
    <w:rsid w:val="00974751"/>
    <w:rsid w:val="00976072"/>
    <w:rsid w:val="00976D8B"/>
    <w:rsid w:val="009803B6"/>
    <w:rsid w:val="009817F6"/>
    <w:rsid w:val="0098244D"/>
    <w:rsid w:val="00986994"/>
    <w:rsid w:val="00987BBE"/>
    <w:rsid w:val="009917DB"/>
    <w:rsid w:val="00992717"/>
    <w:rsid w:val="00992943"/>
    <w:rsid w:val="00992B11"/>
    <w:rsid w:val="00993EDA"/>
    <w:rsid w:val="009957CC"/>
    <w:rsid w:val="009A0CE2"/>
    <w:rsid w:val="009A14F0"/>
    <w:rsid w:val="009A169A"/>
    <w:rsid w:val="009A26AB"/>
    <w:rsid w:val="009A3DE4"/>
    <w:rsid w:val="009B074D"/>
    <w:rsid w:val="009B2B55"/>
    <w:rsid w:val="009B3B98"/>
    <w:rsid w:val="009B3E17"/>
    <w:rsid w:val="009B3F17"/>
    <w:rsid w:val="009B4447"/>
    <w:rsid w:val="009B5660"/>
    <w:rsid w:val="009B57B9"/>
    <w:rsid w:val="009C03C6"/>
    <w:rsid w:val="009C0A66"/>
    <w:rsid w:val="009C13C5"/>
    <w:rsid w:val="009C40EA"/>
    <w:rsid w:val="009C52C8"/>
    <w:rsid w:val="009C5694"/>
    <w:rsid w:val="009C6E92"/>
    <w:rsid w:val="009C6F8D"/>
    <w:rsid w:val="009D132D"/>
    <w:rsid w:val="009D1A04"/>
    <w:rsid w:val="009D1D48"/>
    <w:rsid w:val="009D1EF3"/>
    <w:rsid w:val="009D39C8"/>
    <w:rsid w:val="009D3CFD"/>
    <w:rsid w:val="009D3F89"/>
    <w:rsid w:val="009D5DFB"/>
    <w:rsid w:val="009D7376"/>
    <w:rsid w:val="009E0FA8"/>
    <w:rsid w:val="009E2F71"/>
    <w:rsid w:val="009E33E6"/>
    <w:rsid w:val="009E4F1D"/>
    <w:rsid w:val="009F0943"/>
    <w:rsid w:val="009F0A2B"/>
    <w:rsid w:val="009F2FD6"/>
    <w:rsid w:val="009F4323"/>
    <w:rsid w:val="009F4386"/>
    <w:rsid w:val="009F656D"/>
    <w:rsid w:val="009F661A"/>
    <w:rsid w:val="009F6835"/>
    <w:rsid w:val="00A00D06"/>
    <w:rsid w:val="00A02E77"/>
    <w:rsid w:val="00A032AA"/>
    <w:rsid w:val="00A04850"/>
    <w:rsid w:val="00A04A92"/>
    <w:rsid w:val="00A1025F"/>
    <w:rsid w:val="00A10937"/>
    <w:rsid w:val="00A145D1"/>
    <w:rsid w:val="00A14B8A"/>
    <w:rsid w:val="00A15372"/>
    <w:rsid w:val="00A153D2"/>
    <w:rsid w:val="00A17456"/>
    <w:rsid w:val="00A243F8"/>
    <w:rsid w:val="00A24D80"/>
    <w:rsid w:val="00A27BC2"/>
    <w:rsid w:val="00A305BE"/>
    <w:rsid w:val="00A34B97"/>
    <w:rsid w:val="00A350D7"/>
    <w:rsid w:val="00A350F4"/>
    <w:rsid w:val="00A35A5B"/>
    <w:rsid w:val="00A374E8"/>
    <w:rsid w:val="00A4077B"/>
    <w:rsid w:val="00A40AB2"/>
    <w:rsid w:val="00A43A28"/>
    <w:rsid w:val="00A516D4"/>
    <w:rsid w:val="00A534E8"/>
    <w:rsid w:val="00A5373F"/>
    <w:rsid w:val="00A53B30"/>
    <w:rsid w:val="00A550F0"/>
    <w:rsid w:val="00A61286"/>
    <w:rsid w:val="00A63A29"/>
    <w:rsid w:val="00A652B8"/>
    <w:rsid w:val="00A73F28"/>
    <w:rsid w:val="00A75535"/>
    <w:rsid w:val="00A7586F"/>
    <w:rsid w:val="00A75FB2"/>
    <w:rsid w:val="00A76A7B"/>
    <w:rsid w:val="00A77DD4"/>
    <w:rsid w:val="00A77E12"/>
    <w:rsid w:val="00A81698"/>
    <w:rsid w:val="00A832EA"/>
    <w:rsid w:val="00A87534"/>
    <w:rsid w:val="00A8755A"/>
    <w:rsid w:val="00A903B1"/>
    <w:rsid w:val="00A90548"/>
    <w:rsid w:val="00A91F8D"/>
    <w:rsid w:val="00A93ADA"/>
    <w:rsid w:val="00AA1A46"/>
    <w:rsid w:val="00AA3555"/>
    <w:rsid w:val="00AA39FC"/>
    <w:rsid w:val="00AA5169"/>
    <w:rsid w:val="00AA54B2"/>
    <w:rsid w:val="00AA550A"/>
    <w:rsid w:val="00AA6F68"/>
    <w:rsid w:val="00AA7DC3"/>
    <w:rsid w:val="00AA7E76"/>
    <w:rsid w:val="00AB37A9"/>
    <w:rsid w:val="00AB4C83"/>
    <w:rsid w:val="00AC2617"/>
    <w:rsid w:val="00AC34EF"/>
    <w:rsid w:val="00AC363B"/>
    <w:rsid w:val="00AC376A"/>
    <w:rsid w:val="00AC396D"/>
    <w:rsid w:val="00AC3BA4"/>
    <w:rsid w:val="00AD1339"/>
    <w:rsid w:val="00AD5920"/>
    <w:rsid w:val="00AD7837"/>
    <w:rsid w:val="00AE07C9"/>
    <w:rsid w:val="00AE1A2C"/>
    <w:rsid w:val="00AE221E"/>
    <w:rsid w:val="00AE302E"/>
    <w:rsid w:val="00AE31B3"/>
    <w:rsid w:val="00AE6452"/>
    <w:rsid w:val="00AF0552"/>
    <w:rsid w:val="00AF0F2E"/>
    <w:rsid w:val="00AF2C0B"/>
    <w:rsid w:val="00AF3D7E"/>
    <w:rsid w:val="00AF49E4"/>
    <w:rsid w:val="00AF4C1F"/>
    <w:rsid w:val="00AF5D43"/>
    <w:rsid w:val="00B0200F"/>
    <w:rsid w:val="00B04741"/>
    <w:rsid w:val="00B04D48"/>
    <w:rsid w:val="00B05722"/>
    <w:rsid w:val="00B07915"/>
    <w:rsid w:val="00B106F6"/>
    <w:rsid w:val="00B1177E"/>
    <w:rsid w:val="00B1251A"/>
    <w:rsid w:val="00B12700"/>
    <w:rsid w:val="00B16331"/>
    <w:rsid w:val="00B17FE6"/>
    <w:rsid w:val="00B200FB"/>
    <w:rsid w:val="00B22DED"/>
    <w:rsid w:val="00B23C7B"/>
    <w:rsid w:val="00B2420C"/>
    <w:rsid w:val="00B25D94"/>
    <w:rsid w:val="00B31C71"/>
    <w:rsid w:val="00B322E2"/>
    <w:rsid w:val="00B34995"/>
    <w:rsid w:val="00B34A04"/>
    <w:rsid w:val="00B3580B"/>
    <w:rsid w:val="00B36948"/>
    <w:rsid w:val="00B40934"/>
    <w:rsid w:val="00B40F60"/>
    <w:rsid w:val="00B438D0"/>
    <w:rsid w:val="00B44896"/>
    <w:rsid w:val="00B466D1"/>
    <w:rsid w:val="00B470DA"/>
    <w:rsid w:val="00B5396D"/>
    <w:rsid w:val="00B546DB"/>
    <w:rsid w:val="00B63C27"/>
    <w:rsid w:val="00B71906"/>
    <w:rsid w:val="00B74FA9"/>
    <w:rsid w:val="00B81C8F"/>
    <w:rsid w:val="00B81C94"/>
    <w:rsid w:val="00B83537"/>
    <w:rsid w:val="00B84E4D"/>
    <w:rsid w:val="00B87198"/>
    <w:rsid w:val="00B87E10"/>
    <w:rsid w:val="00B92E41"/>
    <w:rsid w:val="00B93ED0"/>
    <w:rsid w:val="00B95A28"/>
    <w:rsid w:val="00BA17A4"/>
    <w:rsid w:val="00BA3A56"/>
    <w:rsid w:val="00BB1A54"/>
    <w:rsid w:val="00BB3DE7"/>
    <w:rsid w:val="00BB4185"/>
    <w:rsid w:val="00BB4F45"/>
    <w:rsid w:val="00BB6C97"/>
    <w:rsid w:val="00BC0C86"/>
    <w:rsid w:val="00BC12C5"/>
    <w:rsid w:val="00BC1D7F"/>
    <w:rsid w:val="00BC43E3"/>
    <w:rsid w:val="00BC51AC"/>
    <w:rsid w:val="00BC6215"/>
    <w:rsid w:val="00BC6622"/>
    <w:rsid w:val="00BD3477"/>
    <w:rsid w:val="00BD6984"/>
    <w:rsid w:val="00BD6F75"/>
    <w:rsid w:val="00BE01B3"/>
    <w:rsid w:val="00BE13B2"/>
    <w:rsid w:val="00BE2878"/>
    <w:rsid w:val="00BE3323"/>
    <w:rsid w:val="00BE4DE9"/>
    <w:rsid w:val="00BE63E2"/>
    <w:rsid w:val="00BF194B"/>
    <w:rsid w:val="00BF3B81"/>
    <w:rsid w:val="00BF6A78"/>
    <w:rsid w:val="00C035F6"/>
    <w:rsid w:val="00C05214"/>
    <w:rsid w:val="00C06F5A"/>
    <w:rsid w:val="00C0720E"/>
    <w:rsid w:val="00C13CB1"/>
    <w:rsid w:val="00C1555D"/>
    <w:rsid w:val="00C15736"/>
    <w:rsid w:val="00C16510"/>
    <w:rsid w:val="00C17880"/>
    <w:rsid w:val="00C2153F"/>
    <w:rsid w:val="00C32281"/>
    <w:rsid w:val="00C3253E"/>
    <w:rsid w:val="00C32B31"/>
    <w:rsid w:val="00C356B0"/>
    <w:rsid w:val="00C35A84"/>
    <w:rsid w:val="00C35C89"/>
    <w:rsid w:val="00C40A09"/>
    <w:rsid w:val="00C40C7D"/>
    <w:rsid w:val="00C41B57"/>
    <w:rsid w:val="00C44E76"/>
    <w:rsid w:val="00C46A90"/>
    <w:rsid w:val="00C50ECB"/>
    <w:rsid w:val="00C5788B"/>
    <w:rsid w:val="00C61751"/>
    <w:rsid w:val="00C61999"/>
    <w:rsid w:val="00C6253E"/>
    <w:rsid w:val="00C63132"/>
    <w:rsid w:val="00C64FC9"/>
    <w:rsid w:val="00C6586A"/>
    <w:rsid w:val="00C66DCB"/>
    <w:rsid w:val="00C716A7"/>
    <w:rsid w:val="00C71871"/>
    <w:rsid w:val="00C723A7"/>
    <w:rsid w:val="00C75047"/>
    <w:rsid w:val="00C7511A"/>
    <w:rsid w:val="00C75D4A"/>
    <w:rsid w:val="00C76EB6"/>
    <w:rsid w:val="00C8049F"/>
    <w:rsid w:val="00C8072D"/>
    <w:rsid w:val="00C84F9A"/>
    <w:rsid w:val="00C85A2D"/>
    <w:rsid w:val="00C91706"/>
    <w:rsid w:val="00C92C42"/>
    <w:rsid w:val="00C9328A"/>
    <w:rsid w:val="00C94664"/>
    <w:rsid w:val="00C94AEA"/>
    <w:rsid w:val="00C96099"/>
    <w:rsid w:val="00CB329D"/>
    <w:rsid w:val="00CB5334"/>
    <w:rsid w:val="00CB5779"/>
    <w:rsid w:val="00CB6119"/>
    <w:rsid w:val="00CC2EEC"/>
    <w:rsid w:val="00CC3A08"/>
    <w:rsid w:val="00CC42FD"/>
    <w:rsid w:val="00CC5540"/>
    <w:rsid w:val="00CD39F5"/>
    <w:rsid w:val="00CD3BB9"/>
    <w:rsid w:val="00CD4805"/>
    <w:rsid w:val="00CD5280"/>
    <w:rsid w:val="00CD530E"/>
    <w:rsid w:val="00CD57BA"/>
    <w:rsid w:val="00CE1B77"/>
    <w:rsid w:val="00CE28DC"/>
    <w:rsid w:val="00CE4CF0"/>
    <w:rsid w:val="00CE5419"/>
    <w:rsid w:val="00CE544C"/>
    <w:rsid w:val="00CE7710"/>
    <w:rsid w:val="00CF09E4"/>
    <w:rsid w:val="00CF1E88"/>
    <w:rsid w:val="00CF2037"/>
    <w:rsid w:val="00CF2322"/>
    <w:rsid w:val="00CF30BD"/>
    <w:rsid w:val="00CF47F6"/>
    <w:rsid w:val="00CF604F"/>
    <w:rsid w:val="00CF7CA7"/>
    <w:rsid w:val="00D05955"/>
    <w:rsid w:val="00D067CE"/>
    <w:rsid w:val="00D06A98"/>
    <w:rsid w:val="00D13FE0"/>
    <w:rsid w:val="00D154F6"/>
    <w:rsid w:val="00D15724"/>
    <w:rsid w:val="00D3147E"/>
    <w:rsid w:val="00D3184F"/>
    <w:rsid w:val="00D34940"/>
    <w:rsid w:val="00D349B7"/>
    <w:rsid w:val="00D34BB4"/>
    <w:rsid w:val="00D364C1"/>
    <w:rsid w:val="00D40473"/>
    <w:rsid w:val="00D41971"/>
    <w:rsid w:val="00D4230D"/>
    <w:rsid w:val="00D461AE"/>
    <w:rsid w:val="00D46382"/>
    <w:rsid w:val="00D507E6"/>
    <w:rsid w:val="00D51B4D"/>
    <w:rsid w:val="00D5745B"/>
    <w:rsid w:val="00D57869"/>
    <w:rsid w:val="00D6139E"/>
    <w:rsid w:val="00D61837"/>
    <w:rsid w:val="00D6259C"/>
    <w:rsid w:val="00D62A09"/>
    <w:rsid w:val="00D652B4"/>
    <w:rsid w:val="00D67C5D"/>
    <w:rsid w:val="00D70046"/>
    <w:rsid w:val="00D70B18"/>
    <w:rsid w:val="00D70FE7"/>
    <w:rsid w:val="00D7131C"/>
    <w:rsid w:val="00D713B4"/>
    <w:rsid w:val="00D744B4"/>
    <w:rsid w:val="00D74F23"/>
    <w:rsid w:val="00D7570A"/>
    <w:rsid w:val="00D75FF4"/>
    <w:rsid w:val="00D76CC1"/>
    <w:rsid w:val="00D77BA0"/>
    <w:rsid w:val="00D814E0"/>
    <w:rsid w:val="00D8444F"/>
    <w:rsid w:val="00D84830"/>
    <w:rsid w:val="00D86259"/>
    <w:rsid w:val="00D9035C"/>
    <w:rsid w:val="00D92C69"/>
    <w:rsid w:val="00D93055"/>
    <w:rsid w:val="00D93F1E"/>
    <w:rsid w:val="00D952CD"/>
    <w:rsid w:val="00D97AB3"/>
    <w:rsid w:val="00D97CD1"/>
    <w:rsid w:val="00DA1C81"/>
    <w:rsid w:val="00DA69B1"/>
    <w:rsid w:val="00DB04CB"/>
    <w:rsid w:val="00DB0BD6"/>
    <w:rsid w:val="00DB1145"/>
    <w:rsid w:val="00DB277D"/>
    <w:rsid w:val="00DB5C01"/>
    <w:rsid w:val="00DC073B"/>
    <w:rsid w:val="00DC08BA"/>
    <w:rsid w:val="00DC1284"/>
    <w:rsid w:val="00DC3E97"/>
    <w:rsid w:val="00DC3F5D"/>
    <w:rsid w:val="00DC5FA5"/>
    <w:rsid w:val="00DC7F26"/>
    <w:rsid w:val="00DD0440"/>
    <w:rsid w:val="00DD1A92"/>
    <w:rsid w:val="00DD6473"/>
    <w:rsid w:val="00DE2B45"/>
    <w:rsid w:val="00DE30AF"/>
    <w:rsid w:val="00DE459A"/>
    <w:rsid w:val="00DE46F2"/>
    <w:rsid w:val="00DE5859"/>
    <w:rsid w:val="00DF4913"/>
    <w:rsid w:val="00DF6075"/>
    <w:rsid w:val="00DF6986"/>
    <w:rsid w:val="00E1375A"/>
    <w:rsid w:val="00E16E23"/>
    <w:rsid w:val="00E1784B"/>
    <w:rsid w:val="00E22CDD"/>
    <w:rsid w:val="00E22DCA"/>
    <w:rsid w:val="00E278B8"/>
    <w:rsid w:val="00E30E1E"/>
    <w:rsid w:val="00E32637"/>
    <w:rsid w:val="00E3341B"/>
    <w:rsid w:val="00E40821"/>
    <w:rsid w:val="00E41539"/>
    <w:rsid w:val="00E44464"/>
    <w:rsid w:val="00E45E46"/>
    <w:rsid w:val="00E47020"/>
    <w:rsid w:val="00E47421"/>
    <w:rsid w:val="00E51AE7"/>
    <w:rsid w:val="00E53C6B"/>
    <w:rsid w:val="00E55561"/>
    <w:rsid w:val="00E566B1"/>
    <w:rsid w:val="00E57269"/>
    <w:rsid w:val="00E60FE2"/>
    <w:rsid w:val="00E61421"/>
    <w:rsid w:val="00E61AAA"/>
    <w:rsid w:val="00E626AD"/>
    <w:rsid w:val="00E64D97"/>
    <w:rsid w:val="00E67334"/>
    <w:rsid w:val="00E6780D"/>
    <w:rsid w:val="00E7156F"/>
    <w:rsid w:val="00E72A2E"/>
    <w:rsid w:val="00E76403"/>
    <w:rsid w:val="00E76A9C"/>
    <w:rsid w:val="00E81838"/>
    <w:rsid w:val="00E81B3F"/>
    <w:rsid w:val="00E81E64"/>
    <w:rsid w:val="00E84082"/>
    <w:rsid w:val="00E841F6"/>
    <w:rsid w:val="00E91350"/>
    <w:rsid w:val="00E930A2"/>
    <w:rsid w:val="00E94482"/>
    <w:rsid w:val="00EA1BF2"/>
    <w:rsid w:val="00EA250C"/>
    <w:rsid w:val="00EA26CE"/>
    <w:rsid w:val="00EA4BEA"/>
    <w:rsid w:val="00EA5BB6"/>
    <w:rsid w:val="00EB0ABF"/>
    <w:rsid w:val="00EB118F"/>
    <w:rsid w:val="00EB157D"/>
    <w:rsid w:val="00EB6068"/>
    <w:rsid w:val="00EC0545"/>
    <w:rsid w:val="00EC1F48"/>
    <w:rsid w:val="00EC232F"/>
    <w:rsid w:val="00EC4F1C"/>
    <w:rsid w:val="00EC7995"/>
    <w:rsid w:val="00ED1A37"/>
    <w:rsid w:val="00ED2FC8"/>
    <w:rsid w:val="00ED5F67"/>
    <w:rsid w:val="00ED6790"/>
    <w:rsid w:val="00ED7EDB"/>
    <w:rsid w:val="00EE06D7"/>
    <w:rsid w:val="00EE366F"/>
    <w:rsid w:val="00EE380B"/>
    <w:rsid w:val="00EE65FB"/>
    <w:rsid w:val="00EE6A2A"/>
    <w:rsid w:val="00EF65B2"/>
    <w:rsid w:val="00EF69FD"/>
    <w:rsid w:val="00F0054A"/>
    <w:rsid w:val="00F04558"/>
    <w:rsid w:val="00F05E52"/>
    <w:rsid w:val="00F06C36"/>
    <w:rsid w:val="00F13864"/>
    <w:rsid w:val="00F1626F"/>
    <w:rsid w:val="00F20468"/>
    <w:rsid w:val="00F23CE8"/>
    <w:rsid w:val="00F24437"/>
    <w:rsid w:val="00F2480C"/>
    <w:rsid w:val="00F25C06"/>
    <w:rsid w:val="00F25EDC"/>
    <w:rsid w:val="00F2661B"/>
    <w:rsid w:val="00F27A9B"/>
    <w:rsid w:val="00F35F53"/>
    <w:rsid w:val="00F40C6E"/>
    <w:rsid w:val="00F41DB9"/>
    <w:rsid w:val="00F4463C"/>
    <w:rsid w:val="00F4703E"/>
    <w:rsid w:val="00F50411"/>
    <w:rsid w:val="00F51C98"/>
    <w:rsid w:val="00F51D1B"/>
    <w:rsid w:val="00F5206F"/>
    <w:rsid w:val="00F5218F"/>
    <w:rsid w:val="00F53D8E"/>
    <w:rsid w:val="00F570B9"/>
    <w:rsid w:val="00F57643"/>
    <w:rsid w:val="00F60A8A"/>
    <w:rsid w:val="00F62029"/>
    <w:rsid w:val="00F63AD0"/>
    <w:rsid w:val="00F6436F"/>
    <w:rsid w:val="00F64CA7"/>
    <w:rsid w:val="00F66432"/>
    <w:rsid w:val="00F71650"/>
    <w:rsid w:val="00F76496"/>
    <w:rsid w:val="00F80293"/>
    <w:rsid w:val="00F84683"/>
    <w:rsid w:val="00F84CC2"/>
    <w:rsid w:val="00F84DB9"/>
    <w:rsid w:val="00F85D25"/>
    <w:rsid w:val="00F900EA"/>
    <w:rsid w:val="00F92B0B"/>
    <w:rsid w:val="00F96A59"/>
    <w:rsid w:val="00F96EBD"/>
    <w:rsid w:val="00FA08C2"/>
    <w:rsid w:val="00FA0F41"/>
    <w:rsid w:val="00FA2AC6"/>
    <w:rsid w:val="00FA3D8A"/>
    <w:rsid w:val="00FA457C"/>
    <w:rsid w:val="00FB0076"/>
    <w:rsid w:val="00FB0A00"/>
    <w:rsid w:val="00FB25CC"/>
    <w:rsid w:val="00FB5D15"/>
    <w:rsid w:val="00FC01EF"/>
    <w:rsid w:val="00FC284A"/>
    <w:rsid w:val="00FC4589"/>
    <w:rsid w:val="00FC6598"/>
    <w:rsid w:val="00FC79E0"/>
    <w:rsid w:val="00FD124B"/>
    <w:rsid w:val="00FD199B"/>
    <w:rsid w:val="00FD1B5A"/>
    <w:rsid w:val="00FD2729"/>
    <w:rsid w:val="00FD2A55"/>
    <w:rsid w:val="00FD4514"/>
    <w:rsid w:val="00FD56E2"/>
    <w:rsid w:val="00FE2F56"/>
    <w:rsid w:val="00FE3286"/>
    <w:rsid w:val="00FE68D0"/>
    <w:rsid w:val="00FE76A1"/>
    <w:rsid w:val="00FE790D"/>
    <w:rsid w:val="00FE7D60"/>
    <w:rsid w:val="00FF08C7"/>
    <w:rsid w:val="00FF2FC2"/>
    <w:rsid w:val="00FF4C81"/>
    <w:rsid w:val="00FF5822"/>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C856BC1"/>
  <w15:docId w15:val="{853872CC-7BDF-4FF5-9CCE-76CDE274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364"/>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B05722"/>
    <w:pPr>
      <w:shd w:val="clear" w:color="auto" w:fill="D9D9D9" w:themeFill="background1" w:themeFillShade="D9"/>
      <w:outlineLvl w:val="0"/>
    </w:pPr>
    <w:rPr>
      <w:b/>
      <w:sz w:val="28"/>
    </w:rPr>
  </w:style>
  <w:style w:type="paragraph" w:styleId="Heading2">
    <w:name w:val="heading 2"/>
    <w:basedOn w:val="Normal"/>
    <w:next w:val="Normal"/>
    <w:link w:val="Heading2Char"/>
    <w:uiPriority w:val="9"/>
    <w:unhideWhenUsed/>
    <w:qFormat/>
    <w:rsid w:val="00B05722"/>
    <w:pPr>
      <w:shd w:val="clear" w:color="auto" w:fill="D9D9D9" w:themeFill="background1" w:themeFillShade="D9"/>
      <w:outlineLvl w:val="1"/>
    </w:pPr>
    <w:rPr>
      <w:b/>
    </w:rPr>
  </w:style>
  <w:style w:type="paragraph" w:styleId="Heading3">
    <w:name w:val="heading 3"/>
    <w:basedOn w:val="Heading2"/>
    <w:next w:val="Normal"/>
    <w:link w:val="Heading3Char"/>
    <w:uiPriority w:val="9"/>
    <w:unhideWhenUsed/>
    <w:qFormat/>
    <w:rsid w:val="00B05722"/>
    <w:pPr>
      <w:shd w:val="clear" w:color="auto" w:fill="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952CB"/>
    <w:pPr>
      <w:ind w:left="720"/>
      <w:contextualSpacing/>
    </w:pPr>
  </w:style>
  <w:style w:type="character" w:styleId="Hyperlink">
    <w:name w:val="Hyperlink"/>
    <w:basedOn w:val="DefaultParagraphFont"/>
    <w:uiPriority w:val="99"/>
    <w:rsid w:val="00F20468"/>
    <w:rPr>
      <w:color w:val="0000FF"/>
      <w:u w:val="single"/>
    </w:rPr>
  </w:style>
  <w:style w:type="table" w:styleId="TableGrid">
    <w:name w:val="Table Grid"/>
    <w:basedOn w:val="TableNormal"/>
    <w:rsid w:val="00F20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sectionheader">
    <w:name w:val="sub-subsection header"/>
    <w:basedOn w:val="Heading3"/>
    <w:link w:val="sub-subsectionheaderChar"/>
    <w:qFormat/>
    <w:rsid w:val="00B05722"/>
    <w:rPr>
      <w:rFonts w:cs="Arial"/>
      <w:bCs/>
      <w:szCs w:val="22"/>
      <w:lang w:val="en-CA"/>
    </w:rPr>
  </w:style>
  <w:style w:type="paragraph" w:customStyle="1" w:styleId="subsectionheader">
    <w:name w:val="subsection header"/>
    <w:basedOn w:val="Heading2"/>
    <w:link w:val="subsectionheaderChar"/>
    <w:qFormat/>
    <w:rsid w:val="00B05722"/>
    <w:pPr>
      <w:shd w:val="clear" w:color="auto" w:fill="E0E0E0"/>
      <w:ind w:left="-432"/>
    </w:pPr>
    <w:rPr>
      <w:rFonts w:cs="Arial"/>
      <w:bCs/>
      <w:color w:val="000000"/>
    </w:rPr>
  </w:style>
  <w:style w:type="character" w:styleId="Emphasis">
    <w:name w:val="Emphasis"/>
    <w:uiPriority w:val="20"/>
    <w:qFormat/>
    <w:rsid w:val="00F20468"/>
    <w:rPr>
      <w:i/>
      <w:iCs/>
    </w:rPr>
  </w:style>
  <w:style w:type="paragraph" w:customStyle="1" w:styleId="Sub-SectionHeader">
    <w:name w:val="Sub-Section Header"/>
    <w:basedOn w:val="Normal"/>
    <w:link w:val="Sub-SectionHeaderChar"/>
    <w:rsid w:val="00F20468"/>
    <w:pPr>
      <w:widowControl w:val="0"/>
      <w:jc w:val="both"/>
    </w:pPr>
    <w:rPr>
      <w:b/>
      <w:color w:val="808080"/>
      <w:sz w:val="28"/>
      <w:szCs w:val="28"/>
    </w:rPr>
  </w:style>
  <w:style w:type="character" w:customStyle="1" w:styleId="Sub-SectionHeaderChar">
    <w:name w:val="Sub-Section Header Char"/>
    <w:basedOn w:val="DefaultParagraphFont"/>
    <w:link w:val="Sub-SectionHeader"/>
    <w:rsid w:val="00F20468"/>
    <w:rPr>
      <w:rFonts w:ascii="Arial" w:eastAsia="Times New Roman" w:hAnsi="Arial" w:cs="Times New Roman"/>
      <w:b/>
      <w:color w:val="808080"/>
      <w:sz w:val="28"/>
      <w:szCs w:val="28"/>
    </w:rPr>
  </w:style>
  <w:style w:type="character" w:styleId="CommentReference">
    <w:name w:val="annotation reference"/>
    <w:basedOn w:val="DefaultParagraphFont"/>
    <w:uiPriority w:val="99"/>
    <w:semiHidden/>
    <w:unhideWhenUsed/>
    <w:rsid w:val="00206836"/>
    <w:rPr>
      <w:sz w:val="16"/>
      <w:szCs w:val="16"/>
    </w:rPr>
  </w:style>
  <w:style w:type="paragraph" w:styleId="CommentText">
    <w:name w:val="annotation text"/>
    <w:basedOn w:val="Normal"/>
    <w:link w:val="CommentTextChar"/>
    <w:uiPriority w:val="99"/>
    <w:unhideWhenUsed/>
    <w:rsid w:val="00206836"/>
    <w:rPr>
      <w:sz w:val="20"/>
      <w:szCs w:val="20"/>
    </w:rPr>
  </w:style>
  <w:style w:type="character" w:customStyle="1" w:styleId="CommentTextChar">
    <w:name w:val="Comment Text Char"/>
    <w:basedOn w:val="DefaultParagraphFont"/>
    <w:link w:val="CommentText"/>
    <w:uiPriority w:val="99"/>
    <w:rsid w:val="002068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6836"/>
    <w:rPr>
      <w:b/>
      <w:bCs/>
    </w:rPr>
  </w:style>
  <w:style w:type="character" w:customStyle="1" w:styleId="CommentSubjectChar">
    <w:name w:val="Comment Subject Char"/>
    <w:basedOn w:val="CommentTextChar"/>
    <w:link w:val="CommentSubject"/>
    <w:uiPriority w:val="99"/>
    <w:semiHidden/>
    <w:rsid w:val="002068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6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36"/>
    <w:rPr>
      <w:rFonts w:ascii="Segoe UI" w:eastAsia="Times New Roman" w:hAnsi="Segoe UI" w:cs="Segoe UI"/>
      <w:sz w:val="18"/>
      <w:szCs w:val="18"/>
    </w:rPr>
  </w:style>
  <w:style w:type="paragraph" w:styleId="Header">
    <w:name w:val="header"/>
    <w:basedOn w:val="Normal"/>
    <w:link w:val="HeaderChar"/>
    <w:uiPriority w:val="99"/>
    <w:unhideWhenUsed/>
    <w:rsid w:val="00E47020"/>
    <w:pPr>
      <w:tabs>
        <w:tab w:val="center" w:pos="4680"/>
        <w:tab w:val="right" w:pos="9360"/>
      </w:tabs>
    </w:pPr>
  </w:style>
  <w:style w:type="character" w:customStyle="1" w:styleId="HeaderChar">
    <w:name w:val="Header Char"/>
    <w:basedOn w:val="DefaultParagraphFont"/>
    <w:link w:val="Header"/>
    <w:uiPriority w:val="99"/>
    <w:rsid w:val="00E470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020"/>
    <w:pPr>
      <w:tabs>
        <w:tab w:val="center" w:pos="4680"/>
        <w:tab w:val="right" w:pos="9360"/>
      </w:tabs>
    </w:pPr>
  </w:style>
  <w:style w:type="character" w:customStyle="1" w:styleId="FooterChar">
    <w:name w:val="Footer Char"/>
    <w:basedOn w:val="DefaultParagraphFont"/>
    <w:link w:val="Footer"/>
    <w:uiPriority w:val="99"/>
    <w:rsid w:val="00E47020"/>
    <w:rPr>
      <w:rFonts w:ascii="Times New Roman" w:eastAsia="Times New Roman" w:hAnsi="Times New Roman" w:cs="Times New Roman"/>
      <w:sz w:val="24"/>
      <w:szCs w:val="24"/>
    </w:rPr>
  </w:style>
  <w:style w:type="paragraph" w:styleId="NormalWeb">
    <w:name w:val="Normal (Web)"/>
    <w:basedOn w:val="Normal"/>
    <w:uiPriority w:val="99"/>
    <w:rsid w:val="005677D9"/>
    <w:pPr>
      <w:spacing w:before="100" w:beforeAutospacing="1" w:after="100" w:afterAutospacing="1"/>
    </w:pPr>
    <w:rPr>
      <w:rFonts w:cs="Arial"/>
      <w:sz w:val="20"/>
      <w:szCs w:val="20"/>
    </w:rPr>
  </w:style>
  <w:style w:type="paragraph" w:customStyle="1" w:styleId="SectionHeader">
    <w:name w:val="Section Header"/>
    <w:basedOn w:val="Heading1"/>
    <w:link w:val="SectionHeaderChar"/>
    <w:qFormat/>
    <w:rsid w:val="00B05722"/>
    <w:pPr>
      <w:shd w:val="clear" w:color="auto" w:fill="E0E0E0"/>
      <w:ind w:left="-432"/>
      <w:jc w:val="both"/>
    </w:pPr>
    <w:rPr>
      <w:rFonts w:cs="Arial"/>
      <w:szCs w:val="28"/>
      <w:shd w:val="clear" w:color="auto" w:fill="E6E6E6"/>
    </w:rPr>
  </w:style>
  <w:style w:type="character" w:customStyle="1" w:styleId="Heading1Char">
    <w:name w:val="Heading 1 Char"/>
    <w:basedOn w:val="DefaultParagraphFont"/>
    <w:link w:val="Heading1"/>
    <w:uiPriority w:val="9"/>
    <w:rsid w:val="00B05722"/>
    <w:rPr>
      <w:rFonts w:ascii="Arial" w:eastAsia="Times New Roman" w:hAnsi="Arial" w:cs="Times New Roman"/>
      <w:b/>
      <w:sz w:val="28"/>
      <w:szCs w:val="24"/>
      <w:shd w:val="clear" w:color="auto" w:fill="D9D9D9" w:themeFill="background1" w:themeFillShade="D9"/>
    </w:rPr>
  </w:style>
  <w:style w:type="character" w:customStyle="1" w:styleId="SectionHeaderChar">
    <w:name w:val="Section Header Char"/>
    <w:basedOn w:val="DefaultParagraphFont"/>
    <w:link w:val="SectionHeader"/>
    <w:rsid w:val="00B05722"/>
    <w:rPr>
      <w:rFonts w:ascii="Arial" w:eastAsia="Times New Roman" w:hAnsi="Arial" w:cs="Arial"/>
      <w:b/>
      <w:sz w:val="28"/>
      <w:szCs w:val="28"/>
      <w:shd w:val="clear" w:color="auto" w:fill="E0E0E0"/>
    </w:rPr>
  </w:style>
  <w:style w:type="paragraph" w:customStyle="1" w:styleId="FigureHeader">
    <w:name w:val="Figure Header"/>
    <w:basedOn w:val="Normal"/>
    <w:link w:val="FigureHeaderChar"/>
    <w:qFormat/>
    <w:rsid w:val="00B322E2"/>
    <w:pPr>
      <w:jc w:val="both"/>
    </w:pPr>
    <w:rPr>
      <w:rFonts w:cs="Arial"/>
      <w:b/>
      <w:color w:val="808080" w:themeColor="background1" w:themeShade="80"/>
      <w:sz w:val="20"/>
      <w:szCs w:val="22"/>
    </w:rPr>
  </w:style>
  <w:style w:type="character" w:customStyle="1" w:styleId="subsectionheaderChar">
    <w:name w:val="subsection header Char"/>
    <w:basedOn w:val="DefaultParagraphFont"/>
    <w:link w:val="subsectionheader"/>
    <w:rsid w:val="00B05722"/>
    <w:rPr>
      <w:rFonts w:ascii="Arial" w:eastAsia="Times New Roman" w:hAnsi="Arial" w:cs="Arial"/>
      <w:b/>
      <w:bCs/>
      <w:color w:val="000000"/>
      <w:szCs w:val="24"/>
      <w:shd w:val="clear" w:color="auto" w:fill="E0E0E0"/>
    </w:rPr>
  </w:style>
  <w:style w:type="paragraph" w:customStyle="1" w:styleId="TableHeader">
    <w:name w:val="Table Header"/>
    <w:basedOn w:val="Normal"/>
    <w:link w:val="TableHeaderChar"/>
    <w:qFormat/>
    <w:rsid w:val="00B322E2"/>
    <w:rPr>
      <w:rFonts w:cs="Arial"/>
      <w:b/>
      <w:color w:val="808080" w:themeColor="background1" w:themeShade="80"/>
      <w:sz w:val="20"/>
      <w:szCs w:val="22"/>
    </w:rPr>
  </w:style>
  <w:style w:type="character" w:customStyle="1" w:styleId="FigureHeaderChar">
    <w:name w:val="Figure Header Char"/>
    <w:basedOn w:val="DefaultParagraphFont"/>
    <w:link w:val="FigureHeader"/>
    <w:rsid w:val="00B322E2"/>
    <w:rPr>
      <w:rFonts w:ascii="Arial" w:eastAsia="Times New Roman" w:hAnsi="Arial" w:cs="Arial"/>
      <w:b/>
      <w:color w:val="808080" w:themeColor="background1" w:themeShade="80"/>
      <w:sz w:val="20"/>
    </w:rPr>
  </w:style>
  <w:style w:type="character" w:customStyle="1" w:styleId="sub-subsectionheaderChar">
    <w:name w:val="sub-subsection header Char"/>
    <w:basedOn w:val="DefaultParagraphFont"/>
    <w:link w:val="sub-subsectionheader"/>
    <w:rsid w:val="00B05722"/>
    <w:rPr>
      <w:rFonts w:ascii="Arial" w:eastAsia="Times New Roman" w:hAnsi="Arial" w:cs="Arial"/>
      <w:b/>
      <w:bCs/>
      <w:lang w:val="en-CA"/>
    </w:rPr>
  </w:style>
  <w:style w:type="character" w:customStyle="1" w:styleId="TableHeaderChar">
    <w:name w:val="Table Header Char"/>
    <w:basedOn w:val="DefaultParagraphFont"/>
    <w:link w:val="TableHeader"/>
    <w:rsid w:val="00B322E2"/>
    <w:rPr>
      <w:rFonts w:ascii="Arial" w:eastAsia="Times New Roman" w:hAnsi="Arial" w:cs="Arial"/>
      <w:b/>
      <w:color w:val="808080" w:themeColor="background1" w:themeShade="80"/>
      <w:sz w:val="20"/>
    </w:rPr>
  </w:style>
  <w:style w:type="character" w:customStyle="1" w:styleId="Heading2Char">
    <w:name w:val="Heading 2 Char"/>
    <w:basedOn w:val="DefaultParagraphFont"/>
    <w:link w:val="Heading2"/>
    <w:uiPriority w:val="9"/>
    <w:rsid w:val="00B05722"/>
    <w:rPr>
      <w:rFonts w:ascii="Arial" w:eastAsia="Times New Roman" w:hAnsi="Arial" w:cs="Times New Roman"/>
      <w:b/>
      <w:szCs w:val="24"/>
      <w:shd w:val="clear" w:color="auto" w:fill="D9D9D9" w:themeFill="background1" w:themeFillShade="D9"/>
    </w:rPr>
  </w:style>
  <w:style w:type="character" w:customStyle="1" w:styleId="Heading3Char">
    <w:name w:val="Heading 3 Char"/>
    <w:basedOn w:val="DefaultParagraphFont"/>
    <w:link w:val="Heading3"/>
    <w:uiPriority w:val="9"/>
    <w:rsid w:val="00B05722"/>
    <w:rPr>
      <w:rFonts w:ascii="Arial" w:eastAsia="Times New Roman" w:hAnsi="Arial" w:cs="Times New Roman"/>
      <w:b/>
      <w:szCs w:val="24"/>
    </w:rPr>
  </w:style>
  <w:style w:type="paragraph" w:styleId="TOC1">
    <w:name w:val="toc 1"/>
    <w:basedOn w:val="Normal"/>
    <w:next w:val="Normal"/>
    <w:autoRedefine/>
    <w:uiPriority w:val="39"/>
    <w:unhideWhenUsed/>
    <w:rsid w:val="00045CB8"/>
    <w:pPr>
      <w:spacing w:after="100"/>
      <w:contextualSpacing/>
    </w:pPr>
  </w:style>
  <w:style w:type="paragraph" w:styleId="TOC2">
    <w:name w:val="toc 2"/>
    <w:basedOn w:val="Normal"/>
    <w:next w:val="Normal"/>
    <w:autoRedefine/>
    <w:uiPriority w:val="39"/>
    <w:unhideWhenUsed/>
    <w:rsid w:val="00045CB8"/>
    <w:pPr>
      <w:spacing w:after="100"/>
      <w:ind w:left="216"/>
      <w:contextualSpacing/>
    </w:pPr>
  </w:style>
  <w:style w:type="paragraph" w:styleId="TOCHeading">
    <w:name w:val="TOC Heading"/>
    <w:basedOn w:val="Heading1"/>
    <w:next w:val="Normal"/>
    <w:uiPriority w:val="39"/>
    <w:unhideWhenUsed/>
    <w:qFormat/>
    <w:rsid w:val="00A53B30"/>
    <w:pPr>
      <w:spacing w:line="259" w:lineRule="auto"/>
      <w:outlineLvl w:val="9"/>
    </w:pPr>
  </w:style>
  <w:style w:type="paragraph" w:styleId="TOC3">
    <w:name w:val="toc 3"/>
    <w:basedOn w:val="Normal"/>
    <w:next w:val="Normal"/>
    <w:autoRedefine/>
    <w:uiPriority w:val="39"/>
    <w:unhideWhenUsed/>
    <w:rsid w:val="00045CB8"/>
    <w:pPr>
      <w:tabs>
        <w:tab w:val="right" w:leader="dot" w:pos="8630"/>
      </w:tabs>
      <w:spacing w:after="100"/>
      <w:ind w:left="446"/>
      <w:contextualSpacing/>
    </w:pPr>
  </w:style>
  <w:style w:type="paragraph" w:customStyle="1" w:styleId="citation">
    <w:name w:val="citation"/>
    <w:basedOn w:val="Normal"/>
    <w:link w:val="citationChar"/>
    <w:qFormat/>
    <w:rsid w:val="004B2CF9"/>
    <w:pPr>
      <w:jc w:val="both"/>
    </w:pPr>
    <w:rPr>
      <w:rFonts w:cs="Arial"/>
      <w:sz w:val="18"/>
      <w:szCs w:val="18"/>
      <w:lang w:val="en-CA"/>
    </w:rPr>
  </w:style>
  <w:style w:type="character" w:customStyle="1" w:styleId="citationChar">
    <w:name w:val="citation Char"/>
    <w:basedOn w:val="DefaultParagraphFont"/>
    <w:link w:val="citation"/>
    <w:rsid w:val="004B2CF9"/>
    <w:rPr>
      <w:rFonts w:ascii="Arial" w:eastAsia="Times New Roman" w:hAnsi="Arial" w:cs="Arial"/>
      <w:sz w:val="18"/>
      <w:szCs w:val="18"/>
      <w:lang w:val="en-CA"/>
    </w:rPr>
  </w:style>
  <w:style w:type="paragraph" w:customStyle="1" w:styleId="Appendix">
    <w:name w:val="Appendix"/>
    <w:basedOn w:val="Normal"/>
    <w:link w:val="AppendixChar"/>
    <w:qFormat/>
    <w:rsid w:val="008A47D9"/>
    <w:pPr>
      <w:autoSpaceDE w:val="0"/>
      <w:autoSpaceDN w:val="0"/>
      <w:adjustRightInd w:val="0"/>
    </w:pPr>
    <w:rPr>
      <w:rFonts w:cs="Arial"/>
      <w:b/>
      <w:color w:val="808080"/>
      <w:sz w:val="28"/>
      <w:szCs w:val="28"/>
    </w:rPr>
  </w:style>
  <w:style w:type="character" w:customStyle="1" w:styleId="AppendixChar">
    <w:name w:val="Appendix Char"/>
    <w:basedOn w:val="DefaultParagraphFont"/>
    <w:link w:val="Appendix"/>
    <w:rsid w:val="008A47D9"/>
    <w:rPr>
      <w:rFonts w:ascii="Arial" w:eastAsia="Times New Roman" w:hAnsi="Arial" w:cs="Arial"/>
      <w:b/>
      <w:color w:val="808080"/>
      <w:sz w:val="28"/>
      <w:szCs w:val="28"/>
    </w:rPr>
  </w:style>
  <w:style w:type="paragraph" w:styleId="Revision">
    <w:name w:val="Revision"/>
    <w:hidden/>
    <w:uiPriority w:val="99"/>
    <w:semiHidden/>
    <w:rsid w:val="00362FDF"/>
    <w:pPr>
      <w:spacing w:after="0" w:line="240" w:lineRule="auto"/>
    </w:pPr>
    <w:rPr>
      <w:rFonts w:ascii="Arial" w:eastAsia="Times New Roman" w:hAnsi="Arial" w:cs="Times New Roman"/>
      <w:szCs w:val="24"/>
    </w:rPr>
  </w:style>
  <w:style w:type="character" w:customStyle="1" w:styleId="apple-converted-space">
    <w:name w:val="apple-converted-space"/>
    <w:rsid w:val="00F96EBD"/>
  </w:style>
  <w:style w:type="table" w:customStyle="1" w:styleId="TableGrid1">
    <w:name w:val="Table Grid1"/>
    <w:basedOn w:val="TableNormal"/>
    <w:next w:val="TableGrid"/>
    <w:uiPriority w:val="39"/>
    <w:rsid w:val="005F3F8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F7DD9"/>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F7DD9"/>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F7DD9"/>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F7DD9"/>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F7DD9"/>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F7DD9"/>
    <w:pPr>
      <w:spacing w:after="100" w:line="259" w:lineRule="auto"/>
      <w:ind w:left="1760"/>
    </w:pPr>
    <w:rPr>
      <w:rFonts w:asciiTheme="minorHAnsi" w:eastAsiaTheme="minorEastAsia" w:hAnsiTheme="minorHAnsi" w:cstheme="minorBidi"/>
      <w:szCs w:val="22"/>
    </w:rPr>
  </w:style>
  <w:style w:type="character" w:styleId="PageNumber">
    <w:name w:val="page number"/>
    <w:basedOn w:val="DefaultParagraphFont"/>
    <w:rsid w:val="0085594B"/>
  </w:style>
  <w:style w:type="paragraph" w:styleId="Caption">
    <w:name w:val="caption"/>
    <w:basedOn w:val="FigureHeader"/>
    <w:next w:val="Normal"/>
    <w:unhideWhenUsed/>
    <w:qFormat/>
    <w:rsid w:val="00D713B4"/>
  </w:style>
  <w:style w:type="character" w:styleId="SubtleEmphasis">
    <w:name w:val="Subtle Emphasis"/>
    <w:basedOn w:val="DefaultParagraphFont"/>
    <w:uiPriority w:val="19"/>
    <w:qFormat/>
    <w:rsid w:val="000B7996"/>
    <w:rPr>
      <w:i/>
      <w:iCs/>
      <w:color w:val="404040" w:themeColor="text1" w:themeTint="BF"/>
    </w:rPr>
  </w:style>
  <w:style w:type="paragraph" w:styleId="NoSpacing">
    <w:name w:val="No Spacing"/>
    <w:uiPriority w:val="1"/>
    <w:qFormat/>
    <w:rsid w:val="007A0E1B"/>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397">
      <w:bodyDiv w:val="1"/>
      <w:marLeft w:val="0"/>
      <w:marRight w:val="0"/>
      <w:marTop w:val="0"/>
      <w:marBottom w:val="0"/>
      <w:divBdr>
        <w:top w:val="none" w:sz="0" w:space="0" w:color="auto"/>
        <w:left w:val="none" w:sz="0" w:space="0" w:color="auto"/>
        <w:bottom w:val="none" w:sz="0" w:space="0" w:color="auto"/>
        <w:right w:val="none" w:sz="0" w:space="0" w:color="auto"/>
      </w:divBdr>
    </w:div>
    <w:div w:id="218396660">
      <w:bodyDiv w:val="1"/>
      <w:marLeft w:val="0"/>
      <w:marRight w:val="0"/>
      <w:marTop w:val="0"/>
      <w:marBottom w:val="0"/>
      <w:divBdr>
        <w:top w:val="none" w:sz="0" w:space="0" w:color="auto"/>
        <w:left w:val="none" w:sz="0" w:space="0" w:color="auto"/>
        <w:bottom w:val="none" w:sz="0" w:space="0" w:color="auto"/>
        <w:right w:val="none" w:sz="0" w:space="0" w:color="auto"/>
      </w:divBdr>
    </w:div>
    <w:div w:id="241763201">
      <w:bodyDiv w:val="1"/>
      <w:marLeft w:val="0"/>
      <w:marRight w:val="0"/>
      <w:marTop w:val="0"/>
      <w:marBottom w:val="0"/>
      <w:divBdr>
        <w:top w:val="none" w:sz="0" w:space="0" w:color="auto"/>
        <w:left w:val="none" w:sz="0" w:space="0" w:color="auto"/>
        <w:bottom w:val="none" w:sz="0" w:space="0" w:color="auto"/>
        <w:right w:val="none" w:sz="0" w:space="0" w:color="auto"/>
      </w:divBdr>
    </w:div>
    <w:div w:id="279386573">
      <w:bodyDiv w:val="1"/>
      <w:marLeft w:val="0"/>
      <w:marRight w:val="0"/>
      <w:marTop w:val="0"/>
      <w:marBottom w:val="0"/>
      <w:divBdr>
        <w:top w:val="none" w:sz="0" w:space="0" w:color="auto"/>
        <w:left w:val="none" w:sz="0" w:space="0" w:color="auto"/>
        <w:bottom w:val="none" w:sz="0" w:space="0" w:color="auto"/>
        <w:right w:val="none" w:sz="0" w:space="0" w:color="auto"/>
      </w:divBdr>
    </w:div>
    <w:div w:id="332534592">
      <w:bodyDiv w:val="1"/>
      <w:marLeft w:val="0"/>
      <w:marRight w:val="0"/>
      <w:marTop w:val="0"/>
      <w:marBottom w:val="0"/>
      <w:divBdr>
        <w:top w:val="none" w:sz="0" w:space="0" w:color="auto"/>
        <w:left w:val="none" w:sz="0" w:space="0" w:color="auto"/>
        <w:bottom w:val="none" w:sz="0" w:space="0" w:color="auto"/>
        <w:right w:val="none" w:sz="0" w:space="0" w:color="auto"/>
      </w:divBdr>
    </w:div>
    <w:div w:id="392775550">
      <w:bodyDiv w:val="1"/>
      <w:marLeft w:val="0"/>
      <w:marRight w:val="0"/>
      <w:marTop w:val="0"/>
      <w:marBottom w:val="0"/>
      <w:divBdr>
        <w:top w:val="none" w:sz="0" w:space="0" w:color="auto"/>
        <w:left w:val="none" w:sz="0" w:space="0" w:color="auto"/>
        <w:bottom w:val="none" w:sz="0" w:space="0" w:color="auto"/>
        <w:right w:val="none" w:sz="0" w:space="0" w:color="auto"/>
      </w:divBdr>
      <w:divsChild>
        <w:div w:id="1594122387">
          <w:marLeft w:val="0"/>
          <w:marRight w:val="0"/>
          <w:marTop w:val="0"/>
          <w:marBottom w:val="0"/>
          <w:divBdr>
            <w:top w:val="none" w:sz="0" w:space="0" w:color="auto"/>
            <w:left w:val="none" w:sz="0" w:space="0" w:color="auto"/>
            <w:bottom w:val="none" w:sz="0" w:space="0" w:color="auto"/>
            <w:right w:val="none" w:sz="0" w:space="0" w:color="auto"/>
          </w:divBdr>
          <w:divsChild>
            <w:div w:id="251134032">
              <w:marLeft w:val="0"/>
              <w:marRight w:val="0"/>
              <w:marTop w:val="0"/>
              <w:marBottom w:val="0"/>
              <w:divBdr>
                <w:top w:val="none" w:sz="0" w:space="0" w:color="auto"/>
                <w:left w:val="none" w:sz="0" w:space="0" w:color="auto"/>
                <w:bottom w:val="none" w:sz="0" w:space="0" w:color="auto"/>
                <w:right w:val="none" w:sz="0" w:space="0" w:color="auto"/>
              </w:divBdr>
            </w:div>
            <w:div w:id="500513715">
              <w:marLeft w:val="0"/>
              <w:marRight w:val="0"/>
              <w:marTop w:val="0"/>
              <w:marBottom w:val="0"/>
              <w:divBdr>
                <w:top w:val="none" w:sz="0" w:space="0" w:color="auto"/>
                <w:left w:val="none" w:sz="0" w:space="0" w:color="auto"/>
                <w:bottom w:val="none" w:sz="0" w:space="0" w:color="auto"/>
                <w:right w:val="none" w:sz="0" w:space="0" w:color="auto"/>
              </w:divBdr>
              <w:divsChild>
                <w:div w:id="81462035">
                  <w:marLeft w:val="0"/>
                  <w:marRight w:val="0"/>
                  <w:marTop w:val="0"/>
                  <w:marBottom w:val="0"/>
                  <w:divBdr>
                    <w:top w:val="none" w:sz="0" w:space="0" w:color="auto"/>
                    <w:left w:val="none" w:sz="0" w:space="0" w:color="auto"/>
                    <w:bottom w:val="none" w:sz="0" w:space="0" w:color="auto"/>
                    <w:right w:val="none" w:sz="0" w:space="0" w:color="auto"/>
                  </w:divBdr>
                </w:div>
                <w:div w:id="406802065">
                  <w:marLeft w:val="0"/>
                  <w:marRight w:val="0"/>
                  <w:marTop w:val="0"/>
                  <w:marBottom w:val="0"/>
                  <w:divBdr>
                    <w:top w:val="none" w:sz="0" w:space="0" w:color="auto"/>
                    <w:left w:val="none" w:sz="0" w:space="0" w:color="auto"/>
                    <w:bottom w:val="none" w:sz="0" w:space="0" w:color="auto"/>
                    <w:right w:val="none" w:sz="0" w:space="0" w:color="auto"/>
                  </w:divBdr>
                </w:div>
                <w:div w:id="492182489">
                  <w:marLeft w:val="0"/>
                  <w:marRight w:val="0"/>
                  <w:marTop w:val="0"/>
                  <w:marBottom w:val="0"/>
                  <w:divBdr>
                    <w:top w:val="none" w:sz="0" w:space="0" w:color="auto"/>
                    <w:left w:val="none" w:sz="0" w:space="0" w:color="auto"/>
                    <w:bottom w:val="none" w:sz="0" w:space="0" w:color="auto"/>
                    <w:right w:val="none" w:sz="0" w:space="0" w:color="auto"/>
                  </w:divBdr>
                </w:div>
                <w:div w:id="520165292">
                  <w:marLeft w:val="0"/>
                  <w:marRight w:val="0"/>
                  <w:marTop w:val="0"/>
                  <w:marBottom w:val="0"/>
                  <w:divBdr>
                    <w:top w:val="none" w:sz="0" w:space="0" w:color="auto"/>
                    <w:left w:val="none" w:sz="0" w:space="0" w:color="auto"/>
                    <w:bottom w:val="none" w:sz="0" w:space="0" w:color="auto"/>
                    <w:right w:val="none" w:sz="0" w:space="0" w:color="auto"/>
                  </w:divBdr>
                </w:div>
                <w:div w:id="814949736">
                  <w:marLeft w:val="0"/>
                  <w:marRight w:val="0"/>
                  <w:marTop w:val="0"/>
                  <w:marBottom w:val="0"/>
                  <w:divBdr>
                    <w:top w:val="none" w:sz="0" w:space="0" w:color="auto"/>
                    <w:left w:val="none" w:sz="0" w:space="0" w:color="auto"/>
                    <w:bottom w:val="none" w:sz="0" w:space="0" w:color="auto"/>
                    <w:right w:val="none" w:sz="0" w:space="0" w:color="auto"/>
                  </w:divBdr>
                </w:div>
                <w:div w:id="875655845">
                  <w:marLeft w:val="0"/>
                  <w:marRight w:val="0"/>
                  <w:marTop w:val="0"/>
                  <w:marBottom w:val="0"/>
                  <w:divBdr>
                    <w:top w:val="none" w:sz="0" w:space="0" w:color="auto"/>
                    <w:left w:val="none" w:sz="0" w:space="0" w:color="auto"/>
                    <w:bottom w:val="none" w:sz="0" w:space="0" w:color="auto"/>
                    <w:right w:val="none" w:sz="0" w:space="0" w:color="auto"/>
                  </w:divBdr>
                </w:div>
                <w:div w:id="1117066114">
                  <w:marLeft w:val="0"/>
                  <w:marRight w:val="0"/>
                  <w:marTop w:val="0"/>
                  <w:marBottom w:val="0"/>
                  <w:divBdr>
                    <w:top w:val="none" w:sz="0" w:space="0" w:color="auto"/>
                    <w:left w:val="none" w:sz="0" w:space="0" w:color="auto"/>
                    <w:bottom w:val="none" w:sz="0" w:space="0" w:color="auto"/>
                    <w:right w:val="none" w:sz="0" w:space="0" w:color="auto"/>
                  </w:divBdr>
                </w:div>
                <w:div w:id="1361517637">
                  <w:marLeft w:val="0"/>
                  <w:marRight w:val="0"/>
                  <w:marTop w:val="0"/>
                  <w:marBottom w:val="0"/>
                  <w:divBdr>
                    <w:top w:val="none" w:sz="0" w:space="0" w:color="auto"/>
                    <w:left w:val="none" w:sz="0" w:space="0" w:color="auto"/>
                    <w:bottom w:val="none" w:sz="0" w:space="0" w:color="auto"/>
                    <w:right w:val="none" w:sz="0" w:space="0" w:color="auto"/>
                  </w:divBdr>
                </w:div>
                <w:div w:id="1379478238">
                  <w:marLeft w:val="0"/>
                  <w:marRight w:val="0"/>
                  <w:marTop w:val="0"/>
                  <w:marBottom w:val="0"/>
                  <w:divBdr>
                    <w:top w:val="none" w:sz="0" w:space="0" w:color="auto"/>
                    <w:left w:val="none" w:sz="0" w:space="0" w:color="auto"/>
                    <w:bottom w:val="none" w:sz="0" w:space="0" w:color="auto"/>
                    <w:right w:val="none" w:sz="0" w:space="0" w:color="auto"/>
                  </w:divBdr>
                </w:div>
                <w:div w:id="1552614133">
                  <w:marLeft w:val="0"/>
                  <w:marRight w:val="0"/>
                  <w:marTop w:val="0"/>
                  <w:marBottom w:val="0"/>
                  <w:divBdr>
                    <w:top w:val="none" w:sz="0" w:space="0" w:color="auto"/>
                    <w:left w:val="none" w:sz="0" w:space="0" w:color="auto"/>
                    <w:bottom w:val="none" w:sz="0" w:space="0" w:color="auto"/>
                    <w:right w:val="none" w:sz="0" w:space="0" w:color="auto"/>
                  </w:divBdr>
                </w:div>
                <w:div w:id="1727222164">
                  <w:marLeft w:val="0"/>
                  <w:marRight w:val="0"/>
                  <w:marTop w:val="0"/>
                  <w:marBottom w:val="0"/>
                  <w:divBdr>
                    <w:top w:val="none" w:sz="0" w:space="0" w:color="auto"/>
                    <w:left w:val="none" w:sz="0" w:space="0" w:color="auto"/>
                    <w:bottom w:val="none" w:sz="0" w:space="0" w:color="auto"/>
                    <w:right w:val="none" w:sz="0" w:space="0" w:color="auto"/>
                  </w:divBdr>
                </w:div>
                <w:div w:id="1735276268">
                  <w:marLeft w:val="0"/>
                  <w:marRight w:val="0"/>
                  <w:marTop w:val="0"/>
                  <w:marBottom w:val="0"/>
                  <w:divBdr>
                    <w:top w:val="none" w:sz="0" w:space="0" w:color="auto"/>
                    <w:left w:val="none" w:sz="0" w:space="0" w:color="auto"/>
                    <w:bottom w:val="none" w:sz="0" w:space="0" w:color="auto"/>
                    <w:right w:val="none" w:sz="0" w:space="0" w:color="auto"/>
                  </w:divBdr>
                </w:div>
                <w:div w:id="1752315987">
                  <w:marLeft w:val="0"/>
                  <w:marRight w:val="0"/>
                  <w:marTop w:val="0"/>
                  <w:marBottom w:val="0"/>
                  <w:divBdr>
                    <w:top w:val="none" w:sz="0" w:space="0" w:color="auto"/>
                    <w:left w:val="none" w:sz="0" w:space="0" w:color="auto"/>
                    <w:bottom w:val="none" w:sz="0" w:space="0" w:color="auto"/>
                    <w:right w:val="none" w:sz="0" w:space="0" w:color="auto"/>
                  </w:divBdr>
                </w:div>
                <w:div w:id="1840271651">
                  <w:marLeft w:val="0"/>
                  <w:marRight w:val="0"/>
                  <w:marTop w:val="0"/>
                  <w:marBottom w:val="0"/>
                  <w:divBdr>
                    <w:top w:val="none" w:sz="0" w:space="0" w:color="auto"/>
                    <w:left w:val="none" w:sz="0" w:space="0" w:color="auto"/>
                    <w:bottom w:val="none" w:sz="0" w:space="0" w:color="auto"/>
                    <w:right w:val="none" w:sz="0" w:space="0" w:color="auto"/>
                  </w:divBdr>
                </w:div>
                <w:div w:id="1917980936">
                  <w:marLeft w:val="0"/>
                  <w:marRight w:val="0"/>
                  <w:marTop w:val="0"/>
                  <w:marBottom w:val="0"/>
                  <w:divBdr>
                    <w:top w:val="none" w:sz="0" w:space="0" w:color="auto"/>
                    <w:left w:val="none" w:sz="0" w:space="0" w:color="auto"/>
                    <w:bottom w:val="none" w:sz="0" w:space="0" w:color="auto"/>
                    <w:right w:val="none" w:sz="0" w:space="0" w:color="auto"/>
                  </w:divBdr>
                </w:div>
                <w:div w:id="1975403181">
                  <w:marLeft w:val="0"/>
                  <w:marRight w:val="0"/>
                  <w:marTop w:val="0"/>
                  <w:marBottom w:val="0"/>
                  <w:divBdr>
                    <w:top w:val="none" w:sz="0" w:space="0" w:color="auto"/>
                    <w:left w:val="none" w:sz="0" w:space="0" w:color="auto"/>
                    <w:bottom w:val="none" w:sz="0" w:space="0" w:color="auto"/>
                    <w:right w:val="none" w:sz="0" w:space="0" w:color="auto"/>
                  </w:divBdr>
                </w:div>
                <w:div w:id="1978485420">
                  <w:marLeft w:val="0"/>
                  <w:marRight w:val="0"/>
                  <w:marTop w:val="0"/>
                  <w:marBottom w:val="0"/>
                  <w:divBdr>
                    <w:top w:val="none" w:sz="0" w:space="0" w:color="auto"/>
                    <w:left w:val="none" w:sz="0" w:space="0" w:color="auto"/>
                    <w:bottom w:val="none" w:sz="0" w:space="0" w:color="auto"/>
                    <w:right w:val="none" w:sz="0" w:space="0" w:color="auto"/>
                  </w:divBdr>
                </w:div>
                <w:div w:id="21346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7713">
      <w:bodyDiv w:val="1"/>
      <w:marLeft w:val="0"/>
      <w:marRight w:val="0"/>
      <w:marTop w:val="0"/>
      <w:marBottom w:val="0"/>
      <w:divBdr>
        <w:top w:val="none" w:sz="0" w:space="0" w:color="auto"/>
        <w:left w:val="none" w:sz="0" w:space="0" w:color="auto"/>
        <w:bottom w:val="none" w:sz="0" w:space="0" w:color="auto"/>
        <w:right w:val="none" w:sz="0" w:space="0" w:color="auto"/>
      </w:divBdr>
    </w:div>
    <w:div w:id="448933415">
      <w:bodyDiv w:val="1"/>
      <w:marLeft w:val="0"/>
      <w:marRight w:val="0"/>
      <w:marTop w:val="0"/>
      <w:marBottom w:val="0"/>
      <w:divBdr>
        <w:top w:val="none" w:sz="0" w:space="0" w:color="auto"/>
        <w:left w:val="none" w:sz="0" w:space="0" w:color="auto"/>
        <w:bottom w:val="none" w:sz="0" w:space="0" w:color="auto"/>
        <w:right w:val="none" w:sz="0" w:space="0" w:color="auto"/>
      </w:divBdr>
    </w:div>
    <w:div w:id="531764371">
      <w:bodyDiv w:val="1"/>
      <w:marLeft w:val="0"/>
      <w:marRight w:val="0"/>
      <w:marTop w:val="0"/>
      <w:marBottom w:val="0"/>
      <w:divBdr>
        <w:top w:val="none" w:sz="0" w:space="0" w:color="auto"/>
        <w:left w:val="none" w:sz="0" w:space="0" w:color="auto"/>
        <w:bottom w:val="none" w:sz="0" w:space="0" w:color="auto"/>
        <w:right w:val="none" w:sz="0" w:space="0" w:color="auto"/>
      </w:divBdr>
    </w:div>
    <w:div w:id="733623357">
      <w:bodyDiv w:val="1"/>
      <w:marLeft w:val="0"/>
      <w:marRight w:val="0"/>
      <w:marTop w:val="0"/>
      <w:marBottom w:val="0"/>
      <w:divBdr>
        <w:top w:val="none" w:sz="0" w:space="0" w:color="auto"/>
        <w:left w:val="none" w:sz="0" w:space="0" w:color="auto"/>
        <w:bottom w:val="none" w:sz="0" w:space="0" w:color="auto"/>
        <w:right w:val="none" w:sz="0" w:space="0" w:color="auto"/>
      </w:divBdr>
      <w:divsChild>
        <w:div w:id="161355265">
          <w:marLeft w:val="0"/>
          <w:marRight w:val="0"/>
          <w:marTop w:val="0"/>
          <w:marBottom w:val="0"/>
          <w:divBdr>
            <w:top w:val="none" w:sz="0" w:space="0" w:color="auto"/>
            <w:left w:val="none" w:sz="0" w:space="0" w:color="auto"/>
            <w:bottom w:val="none" w:sz="0" w:space="0" w:color="auto"/>
            <w:right w:val="none" w:sz="0" w:space="0" w:color="auto"/>
          </w:divBdr>
          <w:divsChild>
            <w:div w:id="267927516">
              <w:marLeft w:val="0"/>
              <w:marRight w:val="0"/>
              <w:marTop w:val="0"/>
              <w:marBottom w:val="0"/>
              <w:divBdr>
                <w:top w:val="none" w:sz="0" w:space="0" w:color="auto"/>
                <w:left w:val="none" w:sz="0" w:space="0" w:color="auto"/>
                <w:bottom w:val="none" w:sz="0" w:space="0" w:color="auto"/>
                <w:right w:val="none" w:sz="0" w:space="0" w:color="auto"/>
              </w:divBdr>
            </w:div>
            <w:div w:id="1293516722">
              <w:marLeft w:val="0"/>
              <w:marRight w:val="0"/>
              <w:marTop w:val="0"/>
              <w:marBottom w:val="0"/>
              <w:divBdr>
                <w:top w:val="none" w:sz="0" w:space="0" w:color="auto"/>
                <w:left w:val="none" w:sz="0" w:space="0" w:color="auto"/>
                <w:bottom w:val="none" w:sz="0" w:space="0" w:color="auto"/>
                <w:right w:val="none" w:sz="0" w:space="0" w:color="auto"/>
              </w:divBdr>
            </w:div>
            <w:div w:id="1381516459">
              <w:marLeft w:val="0"/>
              <w:marRight w:val="0"/>
              <w:marTop w:val="0"/>
              <w:marBottom w:val="0"/>
              <w:divBdr>
                <w:top w:val="none" w:sz="0" w:space="0" w:color="auto"/>
                <w:left w:val="none" w:sz="0" w:space="0" w:color="auto"/>
                <w:bottom w:val="none" w:sz="0" w:space="0" w:color="auto"/>
                <w:right w:val="none" w:sz="0" w:space="0" w:color="auto"/>
              </w:divBdr>
            </w:div>
            <w:div w:id="1610892196">
              <w:marLeft w:val="0"/>
              <w:marRight w:val="0"/>
              <w:marTop w:val="0"/>
              <w:marBottom w:val="0"/>
              <w:divBdr>
                <w:top w:val="none" w:sz="0" w:space="0" w:color="auto"/>
                <w:left w:val="none" w:sz="0" w:space="0" w:color="auto"/>
                <w:bottom w:val="none" w:sz="0" w:space="0" w:color="auto"/>
                <w:right w:val="none" w:sz="0" w:space="0" w:color="auto"/>
              </w:divBdr>
            </w:div>
            <w:div w:id="1757631769">
              <w:marLeft w:val="0"/>
              <w:marRight w:val="0"/>
              <w:marTop w:val="0"/>
              <w:marBottom w:val="0"/>
              <w:divBdr>
                <w:top w:val="none" w:sz="0" w:space="0" w:color="auto"/>
                <w:left w:val="none" w:sz="0" w:space="0" w:color="auto"/>
                <w:bottom w:val="none" w:sz="0" w:space="0" w:color="auto"/>
                <w:right w:val="none" w:sz="0" w:space="0" w:color="auto"/>
              </w:divBdr>
            </w:div>
            <w:div w:id="1764256153">
              <w:marLeft w:val="0"/>
              <w:marRight w:val="0"/>
              <w:marTop w:val="0"/>
              <w:marBottom w:val="0"/>
              <w:divBdr>
                <w:top w:val="none" w:sz="0" w:space="0" w:color="auto"/>
                <w:left w:val="none" w:sz="0" w:space="0" w:color="auto"/>
                <w:bottom w:val="none" w:sz="0" w:space="0" w:color="auto"/>
                <w:right w:val="none" w:sz="0" w:space="0" w:color="auto"/>
              </w:divBdr>
            </w:div>
            <w:div w:id="2090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3773">
      <w:bodyDiv w:val="1"/>
      <w:marLeft w:val="0"/>
      <w:marRight w:val="0"/>
      <w:marTop w:val="0"/>
      <w:marBottom w:val="0"/>
      <w:divBdr>
        <w:top w:val="none" w:sz="0" w:space="0" w:color="auto"/>
        <w:left w:val="none" w:sz="0" w:space="0" w:color="auto"/>
        <w:bottom w:val="none" w:sz="0" w:space="0" w:color="auto"/>
        <w:right w:val="none" w:sz="0" w:space="0" w:color="auto"/>
      </w:divBdr>
    </w:div>
    <w:div w:id="993096901">
      <w:bodyDiv w:val="1"/>
      <w:marLeft w:val="0"/>
      <w:marRight w:val="0"/>
      <w:marTop w:val="0"/>
      <w:marBottom w:val="0"/>
      <w:divBdr>
        <w:top w:val="none" w:sz="0" w:space="0" w:color="auto"/>
        <w:left w:val="none" w:sz="0" w:space="0" w:color="auto"/>
        <w:bottom w:val="none" w:sz="0" w:space="0" w:color="auto"/>
        <w:right w:val="none" w:sz="0" w:space="0" w:color="auto"/>
      </w:divBdr>
    </w:div>
    <w:div w:id="1071389793">
      <w:bodyDiv w:val="1"/>
      <w:marLeft w:val="0"/>
      <w:marRight w:val="0"/>
      <w:marTop w:val="0"/>
      <w:marBottom w:val="0"/>
      <w:divBdr>
        <w:top w:val="none" w:sz="0" w:space="0" w:color="auto"/>
        <w:left w:val="none" w:sz="0" w:space="0" w:color="auto"/>
        <w:bottom w:val="none" w:sz="0" w:space="0" w:color="auto"/>
        <w:right w:val="none" w:sz="0" w:space="0" w:color="auto"/>
      </w:divBdr>
    </w:div>
    <w:div w:id="1082407006">
      <w:bodyDiv w:val="1"/>
      <w:marLeft w:val="0"/>
      <w:marRight w:val="0"/>
      <w:marTop w:val="0"/>
      <w:marBottom w:val="0"/>
      <w:divBdr>
        <w:top w:val="none" w:sz="0" w:space="0" w:color="auto"/>
        <w:left w:val="none" w:sz="0" w:space="0" w:color="auto"/>
        <w:bottom w:val="none" w:sz="0" w:space="0" w:color="auto"/>
        <w:right w:val="none" w:sz="0" w:space="0" w:color="auto"/>
      </w:divBdr>
    </w:div>
    <w:div w:id="1123578119">
      <w:bodyDiv w:val="1"/>
      <w:marLeft w:val="0"/>
      <w:marRight w:val="0"/>
      <w:marTop w:val="0"/>
      <w:marBottom w:val="0"/>
      <w:divBdr>
        <w:top w:val="none" w:sz="0" w:space="0" w:color="auto"/>
        <w:left w:val="none" w:sz="0" w:space="0" w:color="auto"/>
        <w:bottom w:val="none" w:sz="0" w:space="0" w:color="auto"/>
        <w:right w:val="none" w:sz="0" w:space="0" w:color="auto"/>
      </w:divBdr>
    </w:div>
    <w:div w:id="1296058958">
      <w:bodyDiv w:val="1"/>
      <w:marLeft w:val="0"/>
      <w:marRight w:val="0"/>
      <w:marTop w:val="0"/>
      <w:marBottom w:val="0"/>
      <w:divBdr>
        <w:top w:val="none" w:sz="0" w:space="0" w:color="auto"/>
        <w:left w:val="none" w:sz="0" w:space="0" w:color="auto"/>
        <w:bottom w:val="none" w:sz="0" w:space="0" w:color="auto"/>
        <w:right w:val="none" w:sz="0" w:space="0" w:color="auto"/>
      </w:divBdr>
    </w:div>
    <w:div w:id="1346057073">
      <w:bodyDiv w:val="1"/>
      <w:marLeft w:val="0"/>
      <w:marRight w:val="0"/>
      <w:marTop w:val="0"/>
      <w:marBottom w:val="0"/>
      <w:divBdr>
        <w:top w:val="none" w:sz="0" w:space="0" w:color="auto"/>
        <w:left w:val="none" w:sz="0" w:space="0" w:color="auto"/>
        <w:bottom w:val="none" w:sz="0" w:space="0" w:color="auto"/>
        <w:right w:val="none" w:sz="0" w:space="0" w:color="auto"/>
      </w:divBdr>
      <w:divsChild>
        <w:div w:id="497355562">
          <w:marLeft w:val="0"/>
          <w:marRight w:val="0"/>
          <w:marTop w:val="0"/>
          <w:marBottom w:val="0"/>
          <w:divBdr>
            <w:top w:val="none" w:sz="0" w:space="0" w:color="auto"/>
            <w:left w:val="none" w:sz="0" w:space="0" w:color="auto"/>
            <w:bottom w:val="none" w:sz="0" w:space="0" w:color="auto"/>
            <w:right w:val="none" w:sz="0" w:space="0" w:color="auto"/>
          </w:divBdr>
          <w:divsChild>
            <w:div w:id="16660427">
              <w:marLeft w:val="0"/>
              <w:marRight w:val="0"/>
              <w:marTop w:val="0"/>
              <w:marBottom w:val="0"/>
              <w:divBdr>
                <w:top w:val="none" w:sz="0" w:space="0" w:color="auto"/>
                <w:left w:val="none" w:sz="0" w:space="0" w:color="auto"/>
                <w:bottom w:val="none" w:sz="0" w:space="0" w:color="auto"/>
                <w:right w:val="none" w:sz="0" w:space="0" w:color="auto"/>
              </w:divBdr>
            </w:div>
            <w:div w:id="65685842">
              <w:marLeft w:val="0"/>
              <w:marRight w:val="0"/>
              <w:marTop w:val="0"/>
              <w:marBottom w:val="0"/>
              <w:divBdr>
                <w:top w:val="none" w:sz="0" w:space="0" w:color="auto"/>
                <w:left w:val="none" w:sz="0" w:space="0" w:color="auto"/>
                <w:bottom w:val="none" w:sz="0" w:space="0" w:color="auto"/>
                <w:right w:val="none" w:sz="0" w:space="0" w:color="auto"/>
              </w:divBdr>
            </w:div>
            <w:div w:id="169955344">
              <w:marLeft w:val="0"/>
              <w:marRight w:val="0"/>
              <w:marTop w:val="0"/>
              <w:marBottom w:val="0"/>
              <w:divBdr>
                <w:top w:val="none" w:sz="0" w:space="0" w:color="auto"/>
                <w:left w:val="none" w:sz="0" w:space="0" w:color="auto"/>
                <w:bottom w:val="none" w:sz="0" w:space="0" w:color="auto"/>
                <w:right w:val="none" w:sz="0" w:space="0" w:color="auto"/>
              </w:divBdr>
            </w:div>
            <w:div w:id="372313077">
              <w:marLeft w:val="0"/>
              <w:marRight w:val="0"/>
              <w:marTop w:val="0"/>
              <w:marBottom w:val="0"/>
              <w:divBdr>
                <w:top w:val="none" w:sz="0" w:space="0" w:color="auto"/>
                <w:left w:val="none" w:sz="0" w:space="0" w:color="auto"/>
                <w:bottom w:val="none" w:sz="0" w:space="0" w:color="auto"/>
                <w:right w:val="none" w:sz="0" w:space="0" w:color="auto"/>
              </w:divBdr>
            </w:div>
            <w:div w:id="443110029">
              <w:marLeft w:val="0"/>
              <w:marRight w:val="0"/>
              <w:marTop w:val="0"/>
              <w:marBottom w:val="0"/>
              <w:divBdr>
                <w:top w:val="none" w:sz="0" w:space="0" w:color="auto"/>
                <w:left w:val="none" w:sz="0" w:space="0" w:color="auto"/>
                <w:bottom w:val="none" w:sz="0" w:space="0" w:color="auto"/>
                <w:right w:val="none" w:sz="0" w:space="0" w:color="auto"/>
              </w:divBdr>
            </w:div>
            <w:div w:id="1314724963">
              <w:marLeft w:val="0"/>
              <w:marRight w:val="0"/>
              <w:marTop w:val="0"/>
              <w:marBottom w:val="0"/>
              <w:divBdr>
                <w:top w:val="none" w:sz="0" w:space="0" w:color="auto"/>
                <w:left w:val="none" w:sz="0" w:space="0" w:color="auto"/>
                <w:bottom w:val="none" w:sz="0" w:space="0" w:color="auto"/>
                <w:right w:val="none" w:sz="0" w:space="0" w:color="auto"/>
              </w:divBdr>
            </w:div>
            <w:div w:id="16340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299">
      <w:bodyDiv w:val="1"/>
      <w:marLeft w:val="0"/>
      <w:marRight w:val="0"/>
      <w:marTop w:val="0"/>
      <w:marBottom w:val="0"/>
      <w:divBdr>
        <w:top w:val="none" w:sz="0" w:space="0" w:color="auto"/>
        <w:left w:val="none" w:sz="0" w:space="0" w:color="auto"/>
        <w:bottom w:val="none" w:sz="0" w:space="0" w:color="auto"/>
        <w:right w:val="none" w:sz="0" w:space="0" w:color="auto"/>
      </w:divBdr>
    </w:div>
    <w:div w:id="1492986186">
      <w:bodyDiv w:val="1"/>
      <w:marLeft w:val="0"/>
      <w:marRight w:val="0"/>
      <w:marTop w:val="0"/>
      <w:marBottom w:val="0"/>
      <w:divBdr>
        <w:top w:val="none" w:sz="0" w:space="0" w:color="auto"/>
        <w:left w:val="none" w:sz="0" w:space="0" w:color="auto"/>
        <w:bottom w:val="none" w:sz="0" w:space="0" w:color="auto"/>
        <w:right w:val="none" w:sz="0" w:space="0" w:color="auto"/>
      </w:divBdr>
      <w:divsChild>
        <w:div w:id="1242566332">
          <w:marLeft w:val="0"/>
          <w:marRight w:val="0"/>
          <w:marTop w:val="0"/>
          <w:marBottom w:val="0"/>
          <w:divBdr>
            <w:top w:val="none" w:sz="0" w:space="0" w:color="auto"/>
            <w:left w:val="none" w:sz="0" w:space="0" w:color="auto"/>
            <w:bottom w:val="none" w:sz="0" w:space="0" w:color="auto"/>
            <w:right w:val="none" w:sz="0" w:space="0" w:color="auto"/>
          </w:divBdr>
          <w:divsChild>
            <w:div w:id="197547547">
              <w:marLeft w:val="0"/>
              <w:marRight w:val="0"/>
              <w:marTop w:val="0"/>
              <w:marBottom w:val="0"/>
              <w:divBdr>
                <w:top w:val="none" w:sz="0" w:space="0" w:color="auto"/>
                <w:left w:val="none" w:sz="0" w:space="0" w:color="auto"/>
                <w:bottom w:val="none" w:sz="0" w:space="0" w:color="auto"/>
                <w:right w:val="none" w:sz="0" w:space="0" w:color="auto"/>
              </w:divBdr>
            </w:div>
            <w:div w:id="304285035">
              <w:marLeft w:val="0"/>
              <w:marRight w:val="0"/>
              <w:marTop w:val="0"/>
              <w:marBottom w:val="0"/>
              <w:divBdr>
                <w:top w:val="none" w:sz="0" w:space="0" w:color="auto"/>
                <w:left w:val="none" w:sz="0" w:space="0" w:color="auto"/>
                <w:bottom w:val="none" w:sz="0" w:space="0" w:color="auto"/>
                <w:right w:val="none" w:sz="0" w:space="0" w:color="auto"/>
              </w:divBdr>
            </w:div>
            <w:div w:id="304551644">
              <w:marLeft w:val="0"/>
              <w:marRight w:val="0"/>
              <w:marTop w:val="0"/>
              <w:marBottom w:val="0"/>
              <w:divBdr>
                <w:top w:val="none" w:sz="0" w:space="0" w:color="auto"/>
                <w:left w:val="none" w:sz="0" w:space="0" w:color="auto"/>
                <w:bottom w:val="none" w:sz="0" w:space="0" w:color="auto"/>
                <w:right w:val="none" w:sz="0" w:space="0" w:color="auto"/>
              </w:divBdr>
            </w:div>
            <w:div w:id="819612570">
              <w:marLeft w:val="0"/>
              <w:marRight w:val="0"/>
              <w:marTop w:val="0"/>
              <w:marBottom w:val="0"/>
              <w:divBdr>
                <w:top w:val="none" w:sz="0" w:space="0" w:color="auto"/>
                <w:left w:val="none" w:sz="0" w:space="0" w:color="auto"/>
                <w:bottom w:val="none" w:sz="0" w:space="0" w:color="auto"/>
                <w:right w:val="none" w:sz="0" w:space="0" w:color="auto"/>
              </w:divBdr>
            </w:div>
            <w:div w:id="1387223507">
              <w:marLeft w:val="0"/>
              <w:marRight w:val="0"/>
              <w:marTop w:val="0"/>
              <w:marBottom w:val="0"/>
              <w:divBdr>
                <w:top w:val="none" w:sz="0" w:space="0" w:color="auto"/>
                <w:left w:val="none" w:sz="0" w:space="0" w:color="auto"/>
                <w:bottom w:val="none" w:sz="0" w:space="0" w:color="auto"/>
                <w:right w:val="none" w:sz="0" w:space="0" w:color="auto"/>
              </w:divBdr>
            </w:div>
            <w:div w:id="1399938550">
              <w:marLeft w:val="0"/>
              <w:marRight w:val="0"/>
              <w:marTop w:val="0"/>
              <w:marBottom w:val="0"/>
              <w:divBdr>
                <w:top w:val="none" w:sz="0" w:space="0" w:color="auto"/>
                <w:left w:val="none" w:sz="0" w:space="0" w:color="auto"/>
                <w:bottom w:val="none" w:sz="0" w:space="0" w:color="auto"/>
                <w:right w:val="none" w:sz="0" w:space="0" w:color="auto"/>
              </w:divBdr>
            </w:div>
            <w:div w:id="1410493154">
              <w:marLeft w:val="0"/>
              <w:marRight w:val="0"/>
              <w:marTop w:val="0"/>
              <w:marBottom w:val="0"/>
              <w:divBdr>
                <w:top w:val="none" w:sz="0" w:space="0" w:color="auto"/>
                <w:left w:val="none" w:sz="0" w:space="0" w:color="auto"/>
                <w:bottom w:val="none" w:sz="0" w:space="0" w:color="auto"/>
                <w:right w:val="none" w:sz="0" w:space="0" w:color="auto"/>
              </w:divBdr>
            </w:div>
            <w:div w:id="1870754281">
              <w:marLeft w:val="0"/>
              <w:marRight w:val="0"/>
              <w:marTop w:val="0"/>
              <w:marBottom w:val="0"/>
              <w:divBdr>
                <w:top w:val="none" w:sz="0" w:space="0" w:color="auto"/>
                <w:left w:val="none" w:sz="0" w:space="0" w:color="auto"/>
                <w:bottom w:val="none" w:sz="0" w:space="0" w:color="auto"/>
                <w:right w:val="none" w:sz="0" w:space="0" w:color="auto"/>
              </w:divBdr>
            </w:div>
            <w:div w:id="19860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30824">
      <w:bodyDiv w:val="1"/>
      <w:marLeft w:val="0"/>
      <w:marRight w:val="0"/>
      <w:marTop w:val="0"/>
      <w:marBottom w:val="0"/>
      <w:divBdr>
        <w:top w:val="none" w:sz="0" w:space="0" w:color="auto"/>
        <w:left w:val="none" w:sz="0" w:space="0" w:color="auto"/>
        <w:bottom w:val="none" w:sz="0" w:space="0" w:color="auto"/>
        <w:right w:val="none" w:sz="0" w:space="0" w:color="auto"/>
      </w:divBdr>
    </w:div>
    <w:div w:id="1521813982">
      <w:bodyDiv w:val="1"/>
      <w:marLeft w:val="0"/>
      <w:marRight w:val="0"/>
      <w:marTop w:val="0"/>
      <w:marBottom w:val="0"/>
      <w:divBdr>
        <w:top w:val="none" w:sz="0" w:space="0" w:color="auto"/>
        <w:left w:val="none" w:sz="0" w:space="0" w:color="auto"/>
        <w:bottom w:val="none" w:sz="0" w:space="0" w:color="auto"/>
        <w:right w:val="none" w:sz="0" w:space="0" w:color="auto"/>
      </w:divBdr>
    </w:div>
    <w:div w:id="1522745068">
      <w:bodyDiv w:val="1"/>
      <w:marLeft w:val="0"/>
      <w:marRight w:val="0"/>
      <w:marTop w:val="0"/>
      <w:marBottom w:val="0"/>
      <w:divBdr>
        <w:top w:val="none" w:sz="0" w:space="0" w:color="auto"/>
        <w:left w:val="none" w:sz="0" w:space="0" w:color="auto"/>
        <w:bottom w:val="none" w:sz="0" w:space="0" w:color="auto"/>
        <w:right w:val="none" w:sz="0" w:space="0" w:color="auto"/>
      </w:divBdr>
    </w:div>
    <w:div w:id="1574775035">
      <w:bodyDiv w:val="1"/>
      <w:marLeft w:val="0"/>
      <w:marRight w:val="0"/>
      <w:marTop w:val="0"/>
      <w:marBottom w:val="0"/>
      <w:divBdr>
        <w:top w:val="none" w:sz="0" w:space="0" w:color="auto"/>
        <w:left w:val="none" w:sz="0" w:space="0" w:color="auto"/>
        <w:bottom w:val="none" w:sz="0" w:space="0" w:color="auto"/>
        <w:right w:val="none" w:sz="0" w:space="0" w:color="auto"/>
      </w:divBdr>
    </w:div>
    <w:div w:id="1577738026">
      <w:bodyDiv w:val="1"/>
      <w:marLeft w:val="0"/>
      <w:marRight w:val="0"/>
      <w:marTop w:val="0"/>
      <w:marBottom w:val="0"/>
      <w:divBdr>
        <w:top w:val="none" w:sz="0" w:space="0" w:color="auto"/>
        <w:left w:val="none" w:sz="0" w:space="0" w:color="auto"/>
        <w:bottom w:val="none" w:sz="0" w:space="0" w:color="auto"/>
        <w:right w:val="none" w:sz="0" w:space="0" w:color="auto"/>
      </w:divBdr>
      <w:divsChild>
        <w:div w:id="1882938897">
          <w:marLeft w:val="0"/>
          <w:marRight w:val="0"/>
          <w:marTop w:val="0"/>
          <w:marBottom w:val="0"/>
          <w:divBdr>
            <w:top w:val="none" w:sz="0" w:space="0" w:color="auto"/>
            <w:left w:val="none" w:sz="0" w:space="0" w:color="auto"/>
            <w:bottom w:val="none" w:sz="0" w:space="0" w:color="auto"/>
            <w:right w:val="none" w:sz="0" w:space="0" w:color="auto"/>
          </w:divBdr>
          <w:divsChild>
            <w:div w:id="6685237">
              <w:marLeft w:val="0"/>
              <w:marRight w:val="0"/>
              <w:marTop w:val="0"/>
              <w:marBottom w:val="0"/>
              <w:divBdr>
                <w:top w:val="none" w:sz="0" w:space="0" w:color="auto"/>
                <w:left w:val="none" w:sz="0" w:space="0" w:color="auto"/>
                <w:bottom w:val="none" w:sz="0" w:space="0" w:color="auto"/>
                <w:right w:val="none" w:sz="0" w:space="0" w:color="auto"/>
              </w:divBdr>
            </w:div>
            <w:div w:id="375349851">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639041956">
              <w:marLeft w:val="0"/>
              <w:marRight w:val="0"/>
              <w:marTop w:val="0"/>
              <w:marBottom w:val="0"/>
              <w:divBdr>
                <w:top w:val="none" w:sz="0" w:space="0" w:color="auto"/>
                <w:left w:val="none" w:sz="0" w:space="0" w:color="auto"/>
                <w:bottom w:val="none" w:sz="0" w:space="0" w:color="auto"/>
                <w:right w:val="none" w:sz="0" w:space="0" w:color="auto"/>
              </w:divBdr>
            </w:div>
            <w:div w:id="714237933">
              <w:marLeft w:val="0"/>
              <w:marRight w:val="0"/>
              <w:marTop w:val="0"/>
              <w:marBottom w:val="0"/>
              <w:divBdr>
                <w:top w:val="none" w:sz="0" w:space="0" w:color="auto"/>
                <w:left w:val="none" w:sz="0" w:space="0" w:color="auto"/>
                <w:bottom w:val="none" w:sz="0" w:space="0" w:color="auto"/>
                <w:right w:val="none" w:sz="0" w:space="0" w:color="auto"/>
              </w:divBdr>
            </w:div>
            <w:div w:id="1375423422">
              <w:marLeft w:val="0"/>
              <w:marRight w:val="0"/>
              <w:marTop w:val="0"/>
              <w:marBottom w:val="0"/>
              <w:divBdr>
                <w:top w:val="none" w:sz="0" w:space="0" w:color="auto"/>
                <w:left w:val="none" w:sz="0" w:space="0" w:color="auto"/>
                <w:bottom w:val="none" w:sz="0" w:space="0" w:color="auto"/>
                <w:right w:val="none" w:sz="0" w:space="0" w:color="auto"/>
              </w:divBdr>
            </w:div>
            <w:div w:id="1613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9001">
      <w:bodyDiv w:val="1"/>
      <w:marLeft w:val="0"/>
      <w:marRight w:val="0"/>
      <w:marTop w:val="0"/>
      <w:marBottom w:val="0"/>
      <w:divBdr>
        <w:top w:val="none" w:sz="0" w:space="0" w:color="auto"/>
        <w:left w:val="none" w:sz="0" w:space="0" w:color="auto"/>
        <w:bottom w:val="none" w:sz="0" w:space="0" w:color="auto"/>
        <w:right w:val="none" w:sz="0" w:space="0" w:color="auto"/>
      </w:divBdr>
    </w:div>
    <w:div w:id="1711031015">
      <w:bodyDiv w:val="1"/>
      <w:marLeft w:val="0"/>
      <w:marRight w:val="0"/>
      <w:marTop w:val="0"/>
      <w:marBottom w:val="0"/>
      <w:divBdr>
        <w:top w:val="none" w:sz="0" w:space="0" w:color="auto"/>
        <w:left w:val="none" w:sz="0" w:space="0" w:color="auto"/>
        <w:bottom w:val="none" w:sz="0" w:space="0" w:color="auto"/>
        <w:right w:val="none" w:sz="0" w:space="0" w:color="auto"/>
      </w:divBdr>
    </w:div>
    <w:div w:id="1742826332">
      <w:bodyDiv w:val="1"/>
      <w:marLeft w:val="0"/>
      <w:marRight w:val="0"/>
      <w:marTop w:val="0"/>
      <w:marBottom w:val="0"/>
      <w:divBdr>
        <w:top w:val="none" w:sz="0" w:space="0" w:color="auto"/>
        <w:left w:val="none" w:sz="0" w:space="0" w:color="auto"/>
        <w:bottom w:val="none" w:sz="0" w:space="0" w:color="auto"/>
        <w:right w:val="none" w:sz="0" w:space="0" w:color="auto"/>
      </w:divBdr>
      <w:divsChild>
        <w:div w:id="1653559051">
          <w:blockQuote w:val="1"/>
          <w:marLeft w:val="150"/>
          <w:marRight w:val="0"/>
          <w:marTop w:val="150"/>
          <w:marBottom w:val="150"/>
          <w:divBdr>
            <w:top w:val="single" w:sz="6" w:space="0" w:color="DCDCDC"/>
            <w:left w:val="none" w:sz="0" w:space="0" w:color="auto"/>
            <w:bottom w:val="none" w:sz="0" w:space="0" w:color="auto"/>
            <w:right w:val="none" w:sz="0" w:space="0" w:color="auto"/>
          </w:divBdr>
        </w:div>
      </w:divsChild>
    </w:div>
    <w:div w:id="1761369835">
      <w:bodyDiv w:val="1"/>
      <w:marLeft w:val="0"/>
      <w:marRight w:val="0"/>
      <w:marTop w:val="0"/>
      <w:marBottom w:val="0"/>
      <w:divBdr>
        <w:top w:val="none" w:sz="0" w:space="0" w:color="auto"/>
        <w:left w:val="none" w:sz="0" w:space="0" w:color="auto"/>
        <w:bottom w:val="none" w:sz="0" w:space="0" w:color="auto"/>
        <w:right w:val="none" w:sz="0" w:space="0" w:color="auto"/>
      </w:divBdr>
      <w:divsChild>
        <w:div w:id="746924534">
          <w:marLeft w:val="0"/>
          <w:marRight w:val="0"/>
          <w:marTop w:val="0"/>
          <w:marBottom w:val="0"/>
          <w:divBdr>
            <w:top w:val="none" w:sz="0" w:space="0" w:color="auto"/>
            <w:left w:val="none" w:sz="0" w:space="0" w:color="auto"/>
            <w:bottom w:val="none" w:sz="0" w:space="0" w:color="auto"/>
            <w:right w:val="none" w:sz="0" w:space="0" w:color="auto"/>
          </w:divBdr>
          <w:divsChild>
            <w:div w:id="973948455">
              <w:marLeft w:val="0"/>
              <w:marRight w:val="0"/>
              <w:marTop w:val="0"/>
              <w:marBottom w:val="0"/>
              <w:divBdr>
                <w:top w:val="none" w:sz="0" w:space="0" w:color="auto"/>
                <w:left w:val="none" w:sz="0" w:space="0" w:color="auto"/>
                <w:bottom w:val="none" w:sz="0" w:space="0" w:color="auto"/>
                <w:right w:val="none" w:sz="0" w:space="0" w:color="auto"/>
              </w:divBdr>
            </w:div>
            <w:div w:id="1262374421">
              <w:marLeft w:val="0"/>
              <w:marRight w:val="0"/>
              <w:marTop w:val="0"/>
              <w:marBottom w:val="0"/>
              <w:divBdr>
                <w:top w:val="none" w:sz="0" w:space="0" w:color="auto"/>
                <w:left w:val="none" w:sz="0" w:space="0" w:color="auto"/>
                <w:bottom w:val="none" w:sz="0" w:space="0" w:color="auto"/>
                <w:right w:val="none" w:sz="0" w:space="0" w:color="auto"/>
              </w:divBdr>
            </w:div>
            <w:div w:id="13985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094">
      <w:bodyDiv w:val="1"/>
      <w:marLeft w:val="0"/>
      <w:marRight w:val="0"/>
      <w:marTop w:val="0"/>
      <w:marBottom w:val="0"/>
      <w:divBdr>
        <w:top w:val="none" w:sz="0" w:space="0" w:color="auto"/>
        <w:left w:val="none" w:sz="0" w:space="0" w:color="auto"/>
        <w:bottom w:val="none" w:sz="0" w:space="0" w:color="auto"/>
        <w:right w:val="none" w:sz="0" w:space="0" w:color="auto"/>
      </w:divBdr>
    </w:div>
    <w:div w:id="19974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709B9-76AA-437C-BB45-5D802D3A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Self</dc:creator>
  <cp:keywords/>
  <dc:description/>
  <cp:lastModifiedBy>Kellie Garcia</cp:lastModifiedBy>
  <cp:revision>6</cp:revision>
  <cp:lastPrinted>2016-05-27T22:22:00Z</cp:lastPrinted>
  <dcterms:created xsi:type="dcterms:W3CDTF">2021-06-04T20:02:00Z</dcterms:created>
  <dcterms:modified xsi:type="dcterms:W3CDTF">2021-09-22T18:42:00Z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heather@larratt.net@www.mendeley.com</vt:lpwstr>
  </property>
</Properties>
</file>